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375A7" w14:textId="673493C9" w:rsidR="00EF1AD9" w:rsidRDefault="00EF1AD9" w:rsidP="0040154B">
      <w:pPr>
        <w:pStyle w:val="Sinespaciado"/>
        <w:spacing w:line="276" w:lineRule="auto"/>
        <w:jc w:val="center"/>
        <w:rPr>
          <w:rFonts w:ascii="Arial" w:hAnsi="Arial" w:cs="Arial"/>
          <w:b/>
          <w:bCs/>
          <w:sz w:val="24"/>
          <w:szCs w:val="24"/>
          <w:lang w:val="en-US"/>
        </w:rPr>
      </w:pPr>
    </w:p>
    <w:p w14:paraId="5C7BFEC4" w14:textId="77777777" w:rsidR="00EF1AD9" w:rsidRPr="00B73367" w:rsidRDefault="00EF1AD9" w:rsidP="00EF1AD9">
      <w:pPr>
        <w:pStyle w:val="Sinespaciado"/>
        <w:spacing w:line="276" w:lineRule="auto"/>
        <w:jc w:val="right"/>
        <w:rPr>
          <w:rFonts w:ascii="Arial" w:hAnsi="Arial" w:cs="Arial"/>
          <w:b/>
          <w:bCs/>
          <w:sz w:val="28"/>
          <w:szCs w:val="28"/>
          <w:lang w:val="en-US"/>
        </w:rPr>
      </w:pPr>
      <w:r w:rsidRPr="00B73367">
        <w:rPr>
          <w:b/>
          <w:i/>
          <w:sz w:val="24"/>
          <w:szCs w:val="24"/>
        </w:rPr>
        <w:t>Artículos científicos</w:t>
      </w:r>
      <w:r w:rsidRPr="00B73367">
        <w:rPr>
          <w:rFonts w:ascii="Arial" w:hAnsi="Arial" w:cs="Arial"/>
          <w:b/>
          <w:bCs/>
          <w:sz w:val="28"/>
          <w:szCs w:val="28"/>
          <w:lang w:val="en-US"/>
        </w:rPr>
        <w:t xml:space="preserve"> </w:t>
      </w:r>
    </w:p>
    <w:p w14:paraId="58D54AFF" w14:textId="77777777" w:rsidR="009D608F" w:rsidRDefault="009D608F" w:rsidP="009D608F">
      <w:pPr>
        <w:pStyle w:val="Sinespaciado"/>
        <w:spacing w:before="240" w:line="276" w:lineRule="auto"/>
        <w:jc w:val="right"/>
        <w:rPr>
          <w:rFonts w:cstheme="minorHAnsi"/>
          <w:b/>
          <w:bCs/>
          <w:sz w:val="32"/>
          <w:szCs w:val="32"/>
          <w:lang w:val="es-MX"/>
        </w:rPr>
      </w:pPr>
      <w:bookmarkStart w:id="0" w:name="_Hlk197312909"/>
      <w:proofErr w:type="spellStart"/>
      <w:r w:rsidRPr="00EF1AD9">
        <w:rPr>
          <w:rFonts w:cstheme="minorHAnsi"/>
          <w:b/>
          <w:bCs/>
          <w:sz w:val="32"/>
          <w:szCs w:val="32"/>
          <w:lang w:val="es-MX"/>
        </w:rPr>
        <w:t>Inclusion</w:t>
      </w:r>
      <w:proofErr w:type="spellEnd"/>
      <w:r w:rsidRPr="00EF1AD9">
        <w:rPr>
          <w:rFonts w:cstheme="minorHAnsi"/>
          <w:b/>
          <w:bCs/>
          <w:sz w:val="32"/>
          <w:szCs w:val="32"/>
          <w:lang w:val="es-MX"/>
        </w:rPr>
        <w:t xml:space="preserve"> and </w:t>
      </w:r>
      <w:proofErr w:type="spellStart"/>
      <w:r w:rsidRPr="00EF1AD9">
        <w:rPr>
          <w:rFonts w:cstheme="minorHAnsi"/>
          <w:b/>
          <w:bCs/>
          <w:sz w:val="32"/>
          <w:szCs w:val="32"/>
          <w:lang w:val="es-MX"/>
        </w:rPr>
        <w:t>citizenship</w:t>
      </w:r>
      <w:proofErr w:type="spellEnd"/>
      <w:r w:rsidRPr="00EF1AD9">
        <w:rPr>
          <w:rFonts w:cstheme="minorHAnsi"/>
          <w:b/>
          <w:bCs/>
          <w:sz w:val="32"/>
          <w:szCs w:val="32"/>
          <w:lang w:val="es-MX"/>
        </w:rPr>
        <w:t xml:space="preserve"> in a </w:t>
      </w:r>
      <w:proofErr w:type="spellStart"/>
      <w:r w:rsidRPr="00EF1AD9">
        <w:rPr>
          <w:rFonts w:cstheme="minorHAnsi"/>
          <w:b/>
          <w:bCs/>
          <w:sz w:val="32"/>
          <w:szCs w:val="32"/>
          <w:lang w:val="es-MX"/>
        </w:rPr>
        <w:t>society</w:t>
      </w:r>
      <w:proofErr w:type="spellEnd"/>
      <w:r w:rsidRPr="00EF1AD9">
        <w:rPr>
          <w:rFonts w:cstheme="minorHAnsi"/>
          <w:b/>
          <w:bCs/>
          <w:sz w:val="32"/>
          <w:szCs w:val="32"/>
          <w:lang w:val="es-MX"/>
        </w:rPr>
        <w:t xml:space="preserve"> </w:t>
      </w:r>
      <w:proofErr w:type="spellStart"/>
      <w:r w:rsidRPr="00EF1AD9">
        <w:rPr>
          <w:rFonts w:cstheme="minorHAnsi"/>
          <w:b/>
          <w:bCs/>
          <w:sz w:val="32"/>
          <w:szCs w:val="32"/>
          <w:lang w:val="es-MX"/>
        </w:rPr>
        <w:t>of</w:t>
      </w:r>
      <w:proofErr w:type="spellEnd"/>
      <w:r w:rsidRPr="00EF1AD9">
        <w:rPr>
          <w:rFonts w:cstheme="minorHAnsi"/>
          <w:b/>
          <w:bCs/>
          <w:sz w:val="32"/>
          <w:szCs w:val="32"/>
          <w:lang w:val="es-MX"/>
        </w:rPr>
        <w:t xml:space="preserve"> </w:t>
      </w:r>
      <w:proofErr w:type="spellStart"/>
      <w:r w:rsidRPr="00EF1AD9">
        <w:rPr>
          <w:rFonts w:cstheme="minorHAnsi"/>
          <w:b/>
          <w:bCs/>
          <w:sz w:val="32"/>
          <w:szCs w:val="32"/>
          <w:lang w:val="es-MX"/>
        </w:rPr>
        <w:t>longevity</w:t>
      </w:r>
      <w:proofErr w:type="spellEnd"/>
      <w:r w:rsidRPr="00EF1AD9">
        <w:rPr>
          <w:rFonts w:cstheme="minorHAnsi"/>
          <w:b/>
          <w:bCs/>
          <w:sz w:val="32"/>
          <w:szCs w:val="32"/>
          <w:lang w:val="es-MX"/>
        </w:rPr>
        <w:t xml:space="preserve">: up and </w:t>
      </w:r>
      <w:proofErr w:type="spellStart"/>
      <w:r w:rsidRPr="00EF1AD9">
        <w:rPr>
          <w:rFonts w:cstheme="minorHAnsi"/>
          <w:b/>
          <w:bCs/>
          <w:sz w:val="32"/>
          <w:szCs w:val="32"/>
          <w:lang w:val="es-MX"/>
        </w:rPr>
        <w:t>down</w:t>
      </w:r>
      <w:proofErr w:type="spellEnd"/>
      <w:r w:rsidRPr="00EF1AD9">
        <w:rPr>
          <w:rFonts w:cstheme="minorHAnsi"/>
          <w:b/>
          <w:bCs/>
          <w:sz w:val="32"/>
          <w:szCs w:val="32"/>
          <w:lang w:val="es-MX"/>
        </w:rPr>
        <w:t xml:space="preserve"> </w:t>
      </w:r>
      <w:proofErr w:type="spellStart"/>
      <w:r w:rsidRPr="00EF1AD9">
        <w:rPr>
          <w:rFonts w:cstheme="minorHAnsi"/>
          <w:b/>
          <w:bCs/>
          <w:sz w:val="32"/>
          <w:szCs w:val="32"/>
          <w:lang w:val="es-MX"/>
        </w:rPr>
        <w:t>the</w:t>
      </w:r>
      <w:proofErr w:type="spellEnd"/>
      <w:r w:rsidRPr="00EF1AD9">
        <w:rPr>
          <w:rFonts w:cstheme="minorHAnsi"/>
          <w:b/>
          <w:bCs/>
          <w:sz w:val="32"/>
          <w:szCs w:val="32"/>
          <w:lang w:val="es-MX"/>
        </w:rPr>
        <w:t xml:space="preserve"> </w:t>
      </w:r>
      <w:proofErr w:type="spellStart"/>
      <w:r w:rsidRPr="00EF1AD9">
        <w:rPr>
          <w:rFonts w:cstheme="minorHAnsi"/>
          <w:b/>
          <w:bCs/>
          <w:sz w:val="32"/>
          <w:szCs w:val="32"/>
          <w:lang w:val="es-MX"/>
        </w:rPr>
        <w:t>ladder</w:t>
      </w:r>
      <w:proofErr w:type="spellEnd"/>
      <w:r w:rsidRPr="00EF1AD9">
        <w:rPr>
          <w:rFonts w:cstheme="minorHAnsi"/>
          <w:b/>
          <w:bCs/>
          <w:sz w:val="32"/>
          <w:szCs w:val="32"/>
          <w:lang w:val="es-MX"/>
        </w:rPr>
        <w:t xml:space="preserve">, </w:t>
      </w:r>
      <w:proofErr w:type="spellStart"/>
      <w:r w:rsidRPr="00EF1AD9">
        <w:rPr>
          <w:rFonts w:cstheme="minorHAnsi"/>
          <w:b/>
          <w:bCs/>
          <w:sz w:val="32"/>
          <w:szCs w:val="32"/>
          <w:lang w:val="es-MX"/>
        </w:rPr>
        <w:t>from</w:t>
      </w:r>
      <w:proofErr w:type="spellEnd"/>
      <w:r w:rsidRPr="00EF1AD9">
        <w:rPr>
          <w:rFonts w:cstheme="minorHAnsi"/>
          <w:b/>
          <w:bCs/>
          <w:sz w:val="32"/>
          <w:szCs w:val="32"/>
          <w:lang w:val="es-MX"/>
        </w:rPr>
        <w:t xml:space="preserve"> universal </w:t>
      </w:r>
      <w:proofErr w:type="spellStart"/>
      <w:r w:rsidRPr="00EF1AD9">
        <w:rPr>
          <w:rFonts w:cstheme="minorHAnsi"/>
          <w:b/>
          <w:bCs/>
          <w:sz w:val="32"/>
          <w:szCs w:val="32"/>
          <w:lang w:val="es-MX"/>
        </w:rPr>
        <w:t>principles</w:t>
      </w:r>
      <w:proofErr w:type="spellEnd"/>
      <w:r w:rsidRPr="00EF1AD9">
        <w:rPr>
          <w:rFonts w:cstheme="minorHAnsi"/>
          <w:b/>
          <w:bCs/>
          <w:sz w:val="32"/>
          <w:szCs w:val="32"/>
          <w:lang w:val="es-MX"/>
        </w:rPr>
        <w:t xml:space="preserve"> </w:t>
      </w:r>
      <w:proofErr w:type="spellStart"/>
      <w:r w:rsidRPr="00EF1AD9">
        <w:rPr>
          <w:rFonts w:cstheme="minorHAnsi"/>
          <w:b/>
          <w:bCs/>
          <w:sz w:val="32"/>
          <w:szCs w:val="32"/>
          <w:lang w:val="es-MX"/>
        </w:rPr>
        <w:t>to</w:t>
      </w:r>
      <w:proofErr w:type="spellEnd"/>
      <w:r w:rsidRPr="00EF1AD9">
        <w:rPr>
          <w:rFonts w:cstheme="minorHAnsi"/>
          <w:b/>
          <w:bCs/>
          <w:sz w:val="32"/>
          <w:szCs w:val="32"/>
          <w:lang w:val="es-MX"/>
        </w:rPr>
        <w:t xml:space="preserve"> </w:t>
      </w:r>
      <w:proofErr w:type="spellStart"/>
      <w:r w:rsidRPr="00EF1AD9">
        <w:rPr>
          <w:rFonts w:cstheme="minorHAnsi"/>
          <w:b/>
          <w:bCs/>
          <w:sz w:val="32"/>
          <w:szCs w:val="32"/>
          <w:lang w:val="es-MX"/>
        </w:rPr>
        <w:t>methodological</w:t>
      </w:r>
      <w:proofErr w:type="spellEnd"/>
      <w:r w:rsidRPr="00EF1AD9">
        <w:rPr>
          <w:rFonts w:cstheme="minorHAnsi"/>
          <w:b/>
          <w:bCs/>
          <w:sz w:val="32"/>
          <w:szCs w:val="32"/>
          <w:lang w:val="es-MX"/>
        </w:rPr>
        <w:t xml:space="preserve"> </w:t>
      </w:r>
      <w:proofErr w:type="spellStart"/>
      <w:r w:rsidRPr="00EF1AD9">
        <w:rPr>
          <w:rFonts w:cstheme="minorHAnsi"/>
          <w:b/>
          <w:bCs/>
          <w:sz w:val="32"/>
          <w:szCs w:val="32"/>
          <w:lang w:val="es-MX"/>
        </w:rPr>
        <w:t>challenges</w:t>
      </w:r>
      <w:proofErr w:type="spellEnd"/>
      <w:r w:rsidRPr="00EF1AD9">
        <w:rPr>
          <w:rFonts w:cstheme="minorHAnsi"/>
          <w:b/>
          <w:bCs/>
          <w:sz w:val="32"/>
          <w:szCs w:val="32"/>
          <w:lang w:val="es-MX"/>
        </w:rPr>
        <w:t xml:space="preserve">. </w:t>
      </w:r>
      <w:proofErr w:type="spellStart"/>
      <w:r w:rsidRPr="00EF1AD9">
        <w:rPr>
          <w:rFonts w:cstheme="minorHAnsi"/>
          <w:b/>
          <w:bCs/>
          <w:sz w:val="32"/>
          <w:szCs w:val="32"/>
          <w:lang w:val="es-MX"/>
        </w:rPr>
        <w:t>The</w:t>
      </w:r>
      <w:proofErr w:type="spellEnd"/>
      <w:r w:rsidRPr="00EF1AD9">
        <w:rPr>
          <w:rFonts w:cstheme="minorHAnsi"/>
          <w:b/>
          <w:bCs/>
          <w:sz w:val="32"/>
          <w:szCs w:val="32"/>
          <w:lang w:val="es-MX"/>
        </w:rPr>
        <w:t xml:space="preserve"> case </w:t>
      </w:r>
      <w:proofErr w:type="spellStart"/>
      <w:r w:rsidRPr="00EF1AD9">
        <w:rPr>
          <w:rFonts w:cstheme="minorHAnsi"/>
          <w:b/>
          <w:bCs/>
          <w:sz w:val="32"/>
          <w:szCs w:val="32"/>
          <w:lang w:val="es-MX"/>
        </w:rPr>
        <w:t>of</w:t>
      </w:r>
      <w:proofErr w:type="spellEnd"/>
      <w:r w:rsidRPr="00EF1AD9">
        <w:rPr>
          <w:rFonts w:cstheme="minorHAnsi"/>
          <w:b/>
          <w:bCs/>
          <w:sz w:val="32"/>
          <w:szCs w:val="32"/>
          <w:lang w:val="es-MX"/>
        </w:rPr>
        <w:t xml:space="preserve"> </w:t>
      </w:r>
      <w:proofErr w:type="spellStart"/>
      <w:r w:rsidRPr="00EF1AD9">
        <w:rPr>
          <w:rFonts w:cstheme="minorHAnsi"/>
          <w:b/>
          <w:bCs/>
          <w:sz w:val="32"/>
          <w:szCs w:val="32"/>
          <w:lang w:val="es-MX"/>
        </w:rPr>
        <w:t>citizen</w:t>
      </w:r>
      <w:proofErr w:type="spellEnd"/>
      <w:r w:rsidRPr="00EF1AD9">
        <w:rPr>
          <w:rFonts w:cstheme="minorHAnsi"/>
          <w:b/>
          <w:bCs/>
          <w:sz w:val="32"/>
          <w:szCs w:val="32"/>
          <w:lang w:val="es-MX"/>
        </w:rPr>
        <w:t xml:space="preserve"> </w:t>
      </w:r>
      <w:proofErr w:type="spellStart"/>
      <w:r w:rsidRPr="00EF1AD9">
        <w:rPr>
          <w:rFonts w:cstheme="minorHAnsi"/>
          <w:b/>
          <w:bCs/>
          <w:sz w:val="32"/>
          <w:szCs w:val="32"/>
          <w:lang w:val="es-MX"/>
        </w:rPr>
        <w:t>design</w:t>
      </w:r>
      <w:proofErr w:type="spellEnd"/>
      <w:r w:rsidRPr="00EF1AD9">
        <w:rPr>
          <w:rFonts w:cstheme="minorHAnsi"/>
          <w:b/>
          <w:bCs/>
          <w:sz w:val="32"/>
          <w:szCs w:val="32"/>
          <w:lang w:val="es-MX"/>
        </w:rPr>
        <w:t xml:space="preserve"> workshops in France</w:t>
      </w:r>
    </w:p>
    <w:p w14:paraId="09AAF94C" w14:textId="77777777" w:rsidR="009D608F" w:rsidRPr="00B73367" w:rsidRDefault="009D608F" w:rsidP="009D608F">
      <w:pPr>
        <w:pStyle w:val="Sinespaciado"/>
        <w:spacing w:before="240" w:line="276" w:lineRule="auto"/>
        <w:jc w:val="right"/>
        <w:rPr>
          <w:rFonts w:cstheme="minorHAnsi"/>
          <w:b/>
          <w:bCs/>
          <w:i/>
          <w:iCs/>
          <w:sz w:val="28"/>
          <w:szCs w:val="28"/>
          <w:lang w:val="es-MX"/>
        </w:rPr>
      </w:pPr>
      <w:r w:rsidRPr="00B73367">
        <w:rPr>
          <w:rFonts w:cstheme="minorHAnsi"/>
          <w:b/>
          <w:bCs/>
          <w:i/>
          <w:iCs/>
          <w:sz w:val="28"/>
          <w:szCs w:val="28"/>
          <w:lang w:val="es-MX"/>
        </w:rPr>
        <w:t>Inclusión y ciudadanía en una sociedad longeva: avances y retrocesos, desde principios universales hasta desafíos metodológicos. El caso de los talleres de diseño ciudadano en Francia</w:t>
      </w:r>
    </w:p>
    <w:p w14:paraId="7F2A9838" w14:textId="77777777" w:rsidR="009D608F" w:rsidRPr="00B73367" w:rsidRDefault="009D608F" w:rsidP="009D608F">
      <w:pPr>
        <w:pStyle w:val="Sinespaciado"/>
        <w:spacing w:before="240" w:line="276" w:lineRule="auto"/>
        <w:jc w:val="right"/>
        <w:rPr>
          <w:rFonts w:cstheme="minorHAnsi"/>
          <w:b/>
          <w:bCs/>
          <w:i/>
          <w:iCs/>
          <w:sz w:val="28"/>
          <w:szCs w:val="28"/>
          <w:lang w:val="es-MX"/>
        </w:rPr>
      </w:pPr>
      <w:proofErr w:type="spellStart"/>
      <w:r w:rsidRPr="00B73367">
        <w:rPr>
          <w:rFonts w:cstheme="minorHAnsi"/>
          <w:b/>
          <w:bCs/>
          <w:i/>
          <w:iCs/>
          <w:sz w:val="28"/>
          <w:szCs w:val="28"/>
          <w:lang w:val="es-MX"/>
        </w:rPr>
        <w:t>Inclusão</w:t>
      </w:r>
      <w:proofErr w:type="spellEnd"/>
      <w:r w:rsidRPr="00B73367">
        <w:rPr>
          <w:rFonts w:cstheme="minorHAnsi"/>
          <w:b/>
          <w:bCs/>
          <w:i/>
          <w:iCs/>
          <w:sz w:val="28"/>
          <w:szCs w:val="28"/>
          <w:lang w:val="es-MX"/>
        </w:rPr>
        <w:t xml:space="preserve"> e </w:t>
      </w:r>
      <w:proofErr w:type="spellStart"/>
      <w:r w:rsidRPr="00B73367">
        <w:rPr>
          <w:rFonts w:cstheme="minorHAnsi"/>
          <w:b/>
          <w:bCs/>
          <w:i/>
          <w:iCs/>
          <w:sz w:val="28"/>
          <w:szCs w:val="28"/>
          <w:lang w:val="es-MX"/>
        </w:rPr>
        <w:t>cidadania</w:t>
      </w:r>
      <w:proofErr w:type="spellEnd"/>
      <w:r w:rsidRPr="00B73367">
        <w:rPr>
          <w:rFonts w:cstheme="minorHAnsi"/>
          <w:b/>
          <w:bCs/>
          <w:i/>
          <w:iCs/>
          <w:sz w:val="28"/>
          <w:szCs w:val="28"/>
          <w:lang w:val="es-MX"/>
        </w:rPr>
        <w:t xml:space="preserve"> em </w:t>
      </w:r>
      <w:proofErr w:type="spellStart"/>
      <w:r w:rsidRPr="00B73367">
        <w:rPr>
          <w:rFonts w:cstheme="minorHAnsi"/>
          <w:b/>
          <w:bCs/>
          <w:i/>
          <w:iCs/>
          <w:sz w:val="28"/>
          <w:szCs w:val="28"/>
          <w:lang w:val="es-MX"/>
        </w:rPr>
        <w:t>uma</w:t>
      </w:r>
      <w:proofErr w:type="spellEnd"/>
      <w:r w:rsidRPr="00B73367">
        <w:rPr>
          <w:rFonts w:cstheme="minorHAnsi"/>
          <w:b/>
          <w:bCs/>
          <w:i/>
          <w:iCs/>
          <w:sz w:val="28"/>
          <w:szCs w:val="28"/>
          <w:lang w:val="es-MX"/>
        </w:rPr>
        <w:t xml:space="preserve"> </w:t>
      </w:r>
      <w:proofErr w:type="spellStart"/>
      <w:r w:rsidRPr="00B73367">
        <w:rPr>
          <w:rFonts w:cstheme="minorHAnsi"/>
          <w:b/>
          <w:bCs/>
          <w:i/>
          <w:iCs/>
          <w:sz w:val="28"/>
          <w:szCs w:val="28"/>
          <w:lang w:val="es-MX"/>
        </w:rPr>
        <w:t>sociedade</w:t>
      </w:r>
      <w:proofErr w:type="spellEnd"/>
      <w:r w:rsidRPr="00B73367">
        <w:rPr>
          <w:rFonts w:cstheme="minorHAnsi"/>
          <w:b/>
          <w:bCs/>
          <w:i/>
          <w:iCs/>
          <w:sz w:val="28"/>
          <w:szCs w:val="28"/>
          <w:lang w:val="es-MX"/>
        </w:rPr>
        <w:t xml:space="preserve"> de </w:t>
      </w:r>
      <w:proofErr w:type="spellStart"/>
      <w:r w:rsidRPr="00B73367">
        <w:rPr>
          <w:rFonts w:cstheme="minorHAnsi"/>
          <w:b/>
          <w:bCs/>
          <w:i/>
          <w:iCs/>
          <w:sz w:val="28"/>
          <w:szCs w:val="28"/>
          <w:lang w:val="es-MX"/>
        </w:rPr>
        <w:t>longevidade</w:t>
      </w:r>
      <w:proofErr w:type="spellEnd"/>
      <w:r w:rsidRPr="00B73367">
        <w:rPr>
          <w:rFonts w:cstheme="minorHAnsi"/>
          <w:b/>
          <w:bCs/>
          <w:i/>
          <w:iCs/>
          <w:sz w:val="28"/>
          <w:szCs w:val="28"/>
          <w:lang w:val="es-MX"/>
        </w:rPr>
        <w:t xml:space="preserve">: </w:t>
      </w:r>
      <w:proofErr w:type="spellStart"/>
      <w:r w:rsidRPr="00B73367">
        <w:rPr>
          <w:rFonts w:cstheme="minorHAnsi"/>
          <w:b/>
          <w:bCs/>
          <w:i/>
          <w:iCs/>
          <w:sz w:val="28"/>
          <w:szCs w:val="28"/>
          <w:lang w:val="es-MX"/>
        </w:rPr>
        <w:t>subindo</w:t>
      </w:r>
      <w:proofErr w:type="spellEnd"/>
      <w:r w:rsidRPr="00B73367">
        <w:rPr>
          <w:rFonts w:cstheme="minorHAnsi"/>
          <w:b/>
          <w:bCs/>
          <w:i/>
          <w:iCs/>
          <w:sz w:val="28"/>
          <w:szCs w:val="28"/>
          <w:lang w:val="es-MX"/>
        </w:rPr>
        <w:t xml:space="preserve"> e </w:t>
      </w:r>
      <w:proofErr w:type="spellStart"/>
      <w:r w:rsidRPr="00B73367">
        <w:rPr>
          <w:rFonts w:cstheme="minorHAnsi"/>
          <w:b/>
          <w:bCs/>
          <w:i/>
          <w:iCs/>
          <w:sz w:val="28"/>
          <w:szCs w:val="28"/>
          <w:lang w:val="es-MX"/>
        </w:rPr>
        <w:t>descendo</w:t>
      </w:r>
      <w:proofErr w:type="spellEnd"/>
      <w:r w:rsidRPr="00B73367">
        <w:rPr>
          <w:rFonts w:cstheme="minorHAnsi"/>
          <w:b/>
          <w:bCs/>
          <w:i/>
          <w:iCs/>
          <w:sz w:val="28"/>
          <w:szCs w:val="28"/>
          <w:lang w:val="es-MX"/>
        </w:rPr>
        <w:t xml:space="preserve"> a </w:t>
      </w:r>
      <w:proofErr w:type="spellStart"/>
      <w:r w:rsidRPr="00B73367">
        <w:rPr>
          <w:rFonts w:cstheme="minorHAnsi"/>
          <w:b/>
          <w:bCs/>
          <w:i/>
          <w:iCs/>
          <w:sz w:val="28"/>
          <w:szCs w:val="28"/>
          <w:lang w:val="es-MX"/>
        </w:rPr>
        <w:t>escada</w:t>
      </w:r>
      <w:proofErr w:type="spellEnd"/>
      <w:r w:rsidRPr="00B73367">
        <w:rPr>
          <w:rFonts w:cstheme="minorHAnsi"/>
          <w:b/>
          <w:bCs/>
          <w:i/>
          <w:iCs/>
          <w:sz w:val="28"/>
          <w:szCs w:val="28"/>
          <w:lang w:val="es-MX"/>
        </w:rPr>
        <w:t xml:space="preserve">, dos </w:t>
      </w:r>
      <w:proofErr w:type="spellStart"/>
      <w:r w:rsidRPr="00B73367">
        <w:rPr>
          <w:rFonts w:cstheme="minorHAnsi"/>
          <w:b/>
          <w:bCs/>
          <w:i/>
          <w:iCs/>
          <w:sz w:val="28"/>
          <w:szCs w:val="28"/>
          <w:lang w:val="es-MX"/>
        </w:rPr>
        <w:t>princípios</w:t>
      </w:r>
      <w:proofErr w:type="spellEnd"/>
      <w:r w:rsidRPr="00B73367">
        <w:rPr>
          <w:rFonts w:cstheme="minorHAnsi"/>
          <w:b/>
          <w:bCs/>
          <w:i/>
          <w:iCs/>
          <w:sz w:val="28"/>
          <w:szCs w:val="28"/>
          <w:lang w:val="es-MX"/>
        </w:rPr>
        <w:t xml:space="preserve"> </w:t>
      </w:r>
      <w:proofErr w:type="spellStart"/>
      <w:r w:rsidRPr="00B73367">
        <w:rPr>
          <w:rFonts w:cstheme="minorHAnsi"/>
          <w:b/>
          <w:bCs/>
          <w:i/>
          <w:iCs/>
          <w:sz w:val="28"/>
          <w:szCs w:val="28"/>
          <w:lang w:val="es-MX"/>
        </w:rPr>
        <w:t>universais</w:t>
      </w:r>
      <w:proofErr w:type="spellEnd"/>
      <w:r w:rsidRPr="00B73367">
        <w:rPr>
          <w:rFonts w:cstheme="minorHAnsi"/>
          <w:b/>
          <w:bCs/>
          <w:i/>
          <w:iCs/>
          <w:sz w:val="28"/>
          <w:szCs w:val="28"/>
          <w:lang w:val="es-MX"/>
        </w:rPr>
        <w:t xml:space="preserve"> </w:t>
      </w:r>
      <w:proofErr w:type="spellStart"/>
      <w:r w:rsidRPr="00B73367">
        <w:rPr>
          <w:rFonts w:cstheme="minorHAnsi"/>
          <w:b/>
          <w:bCs/>
          <w:i/>
          <w:iCs/>
          <w:sz w:val="28"/>
          <w:szCs w:val="28"/>
          <w:lang w:val="es-MX"/>
        </w:rPr>
        <w:t>aos</w:t>
      </w:r>
      <w:proofErr w:type="spellEnd"/>
      <w:r w:rsidRPr="00B73367">
        <w:rPr>
          <w:rFonts w:cstheme="minorHAnsi"/>
          <w:b/>
          <w:bCs/>
          <w:i/>
          <w:iCs/>
          <w:sz w:val="28"/>
          <w:szCs w:val="28"/>
          <w:lang w:val="es-MX"/>
        </w:rPr>
        <w:t xml:space="preserve"> </w:t>
      </w:r>
      <w:proofErr w:type="spellStart"/>
      <w:r w:rsidRPr="00B73367">
        <w:rPr>
          <w:rFonts w:cstheme="minorHAnsi"/>
          <w:b/>
          <w:bCs/>
          <w:i/>
          <w:iCs/>
          <w:sz w:val="28"/>
          <w:szCs w:val="28"/>
          <w:lang w:val="es-MX"/>
        </w:rPr>
        <w:t>desafios</w:t>
      </w:r>
      <w:proofErr w:type="spellEnd"/>
      <w:r w:rsidRPr="00B73367">
        <w:rPr>
          <w:rFonts w:cstheme="minorHAnsi"/>
          <w:b/>
          <w:bCs/>
          <w:i/>
          <w:iCs/>
          <w:sz w:val="28"/>
          <w:szCs w:val="28"/>
          <w:lang w:val="es-MX"/>
        </w:rPr>
        <w:t xml:space="preserve"> metodológicos. O caso das oficinas de </w:t>
      </w:r>
      <w:proofErr w:type="spellStart"/>
      <w:r w:rsidRPr="00B73367">
        <w:rPr>
          <w:rFonts w:cstheme="minorHAnsi"/>
          <w:b/>
          <w:bCs/>
          <w:i/>
          <w:iCs/>
          <w:sz w:val="28"/>
          <w:szCs w:val="28"/>
          <w:lang w:val="es-MX"/>
        </w:rPr>
        <w:t>design</w:t>
      </w:r>
      <w:proofErr w:type="spellEnd"/>
      <w:r w:rsidRPr="00B73367">
        <w:rPr>
          <w:rFonts w:cstheme="minorHAnsi"/>
          <w:b/>
          <w:bCs/>
          <w:i/>
          <w:iCs/>
          <w:sz w:val="28"/>
          <w:szCs w:val="28"/>
          <w:lang w:val="es-MX"/>
        </w:rPr>
        <w:t xml:space="preserve"> </w:t>
      </w:r>
      <w:proofErr w:type="spellStart"/>
      <w:r w:rsidRPr="00B73367">
        <w:rPr>
          <w:rFonts w:cstheme="minorHAnsi"/>
          <w:b/>
          <w:bCs/>
          <w:i/>
          <w:iCs/>
          <w:sz w:val="28"/>
          <w:szCs w:val="28"/>
          <w:lang w:val="es-MX"/>
        </w:rPr>
        <w:t>cidadão</w:t>
      </w:r>
      <w:proofErr w:type="spellEnd"/>
      <w:r w:rsidRPr="00B73367">
        <w:rPr>
          <w:rFonts w:cstheme="minorHAnsi"/>
          <w:b/>
          <w:bCs/>
          <w:i/>
          <w:iCs/>
          <w:sz w:val="28"/>
          <w:szCs w:val="28"/>
          <w:lang w:val="es-MX"/>
        </w:rPr>
        <w:t xml:space="preserve"> </w:t>
      </w:r>
      <w:proofErr w:type="spellStart"/>
      <w:r w:rsidRPr="00B73367">
        <w:rPr>
          <w:rFonts w:cstheme="minorHAnsi"/>
          <w:b/>
          <w:bCs/>
          <w:i/>
          <w:iCs/>
          <w:sz w:val="28"/>
          <w:szCs w:val="28"/>
          <w:lang w:val="es-MX"/>
        </w:rPr>
        <w:t>na</w:t>
      </w:r>
      <w:proofErr w:type="spellEnd"/>
      <w:r w:rsidRPr="00B73367">
        <w:rPr>
          <w:rFonts w:cstheme="minorHAnsi"/>
          <w:b/>
          <w:bCs/>
          <w:i/>
          <w:iCs/>
          <w:sz w:val="28"/>
          <w:szCs w:val="28"/>
          <w:lang w:val="es-MX"/>
        </w:rPr>
        <w:t xml:space="preserve"> </w:t>
      </w:r>
      <w:proofErr w:type="spellStart"/>
      <w:r w:rsidRPr="00B73367">
        <w:rPr>
          <w:rFonts w:cstheme="minorHAnsi"/>
          <w:b/>
          <w:bCs/>
          <w:i/>
          <w:iCs/>
          <w:sz w:val="28"/>
          <w:szCs w:val="28"/>
          <w:lang w:val="es-MX"/>
        </w:rPr>
        <w:t>França</w:t>
      </w:r>
      <w:proofErr w:type="spellEnd"/>
    </w:p>
    <w:p w14:paraId="201EA4B7" w14:textId="77777777" w:rsidR="009D608F" w:rsidRPr="0006644D" w:rsidRDefault="009D608F" w:rsidP="009D608F">
      <w:pPr>
        <w:pStyle w:val="Sinespaciado"/>
        <w:spacing w:before="240" w:line="360" w:lineRule="auto"/>
        <w:jc w:val="right"/>
        <w:rPr>
          <w:rFonts w:ascii="Arial" w:hAnsi="Arial" w:cs="Arial"/>
          <w:sz w:val="24"/>
          <w:szCs w:val="24"/>
          <w:lang w:val="en-US" w:eastAsia="fr-FR"/>
        </w:rPr>
      </w:pPr>
    </w:p>
    <w:p w14:paraId="52A1CA6F" w14:textId="77777777" w:rsidR="009D608F" w:rsidRPr="004676A3" w:rsidRDefault="009D608F" w:rsidP="009D608F">
      <w:pPr>
        <w:pStyle w:val="Sinespaciado"/>
        <w:spacing w:line="276" w:lineRule="auto"/>
        <w:jc w:val="right"/>
        <w:rPr>
          <w:rFonts w:ascii="Calibri" w:hAnsi="Calibri" w:cs="Calibri"/>
          <w:b/>
          <w:bCs/>
          <w:sz w:val="24"/>
          <w:szCs w:val="24"/>
          <w:lang w:val="en-US" w:eastAsia="fr-FR"/>
        </w:rPr>
      </w:pPr>
      <w:r w:rsidRPr="004676A3">
        <w:rPr>
          <w:rFonts w:ascii="Calibri" w:hAnsi="Calibri" w:cs="Calibri"/>
          <w:b/>
          <w:bCs/>
          <w:sz w:val="24"/>
          <w:szCs w:val="24"/>
          <w:lang w:val="en-US" w:eastAsia="fr-FR"/>
        </w:rPr>
        <w:t xml:space="preserve">Jean-Philippe Viriot Durandal </w:t>
      </w:r>
    </w:p>
    <w:p w14:paraId="23DFE8E1" w14:textId="77777777" w:rsidR="009D608F" w:rsidRDefault="009D608F" w:rsidP="009D608F">
      <w:pPr>
        <w:pStyle w:val="Sinespaciado"/>
        <w:spacing w:line="276" w:lineRule="auto"/>
        <w:jc w:val="right"/>
        <w:rPr>
          <w:rFonts w:ascii="Calibri" w:hAnsi="Calibri" w:cs="Calibri"/>
          <w:sz w:val="24"/>
          <w:szCs w:val="24"/>
          <w:lang w:val="en-US" w:eastAsia="fr-FR"/>
        </w:rPr>
      </w:pPr>
      <w:r w:rsidRPr="007B71C0">
        <w:rPr>
          <w:rFonts w:ascii="Calibri" w:hAnsi="Calibri" w:cs="Calibri"/>
          <w:sz w:val="24"/>
          <w:szCs w:val="24"/>
          <w:lang w:val="en-US" w:eastAsia="fr-FR"/>
        </w:rPr>
        <w:t>Professor of Sociology, Chair Holder of the International Chair on Inclusive Societies and Aging (ICISA), CREAT, University of Lorraine</w:t>
      </w:r>
      <w:r>
        <w:rPr>
          <w:rFonts w:ascii="Calibri" w:hAnsi="Calibri" w:cs="Calibri"/>
          <w:sz w:val="24"/>
          <w:szCs w:val="24"/>
          <w:lang w:val="en-US" w:eastAsia="fr-FR"/>
        </w:rPr>
        <w:t xml:space="preserve">, </w:t>
      </w:r>
      <w:r w:rsidRPr="007B71C0">
        <w:rPr>
          <w:rFonts w:ascii="Calibri" w:hAnsi="Calibri" w:cs="Calibri"/>
          <w:sz w:val="24"/>
          <w:szCs w:val="24"/>
          <w:lang w:val="en-US" w:eastAsia="fr-FR"/>
        </w:rPr>
        <w:t>France</w:t>
      </w:r>
    </w:p>
    <w:p w14:paraId="1360B341" w14:textId="1829E11F" w:rsidR="0058501B" w:rsidRPr="007B71C0" w:rsidRDefault="0058501B" w:rsidP="009D608F">
      <w:pPr>
        <w:pStyle w:val="Sinespaciado"/>
        <w:spacing w:line="276" w:lineRule="auto"/>
        <w:jc w:val="right"/>
        <w:rPr>
          <w:rFonts w:ascii="Calibri" w:hAnsi="Calibri" w:cs="Calibri"/>
          <w:sz w:val="24"/>
          <w:szCs w:val="24"/>
          <w:lang w:val="en-US" w:eastAsia="fr-FR"/>
        </w:rPr>
      </w:pPr>
      <w:r w:rsidRPr="0058501B">
        <w:rPr>
          <w:rFonts w:ascii="Calibri" w:hAnsi="Calibri" w:cs="Calibri"/>
          <w:color w:val="FF0000"/>
          <w:sz w:val="24"/>
          <w:szCs w:val="24"/>
          <w:lang w:val="en-US" w:eastAsia="fr-FR"/>
        </w:rPr>
        <w:t>jean-philippe.viriot-durandal@univ-lorraine.fr</w:t>
      </w:r>
    </w:p>
    <w:p w14:paraId="5FF5D06F" w14:textId="77777777" w:rsidR="009D608F" w:rsidRPr="007B71C0" w:rsidRDefault="009D608F" w:rsidP="009D608F">
      <w:pPr>
        <w:pStyle w:val="Sinespaciado"/>
        <w:spacing w:before="240" w:line="276" w:lineRule="auto"/>
        <w:jc w:val="right"/>
        <w:rPr>
          <w:rFonts w:ascii="Calibri" w:hAnsi="Calibri" w:cs="Calibri"/>
          <w:sz w:val="24"/>
          <w:szCs w:val="24"/>
          <w:lang w:val="en-US" w:eastAsia="fr-FR"/>
        </w:rPr>
      </w:pPr>
    </w:p>
    <w:p w14:paraId="744A2436" w14:textId="77777777" w:rsidR="009D608F" w:rsidRPr="004676A3" w:rsidRDefault="009D608F" w:rsidP="009D608F">
      <w:pPr>
        <w:spacing w:before="0" w:after="0" w:line="276" w:lineRule="auto"/>
        <w:jc w:val="right"/>
        <w:rPr>
          <w:rFonts w:ascii="Calibri" w:hAnsi="Calibri" w:cs="Calibri"/>
          <w:b/>
          <w:bCs/>
          <w:lang w:val="en-US" w:eastAsia="fr-FR"/>
        </w:rPr>
      </w:pPr>
      <w:r w:rsidRPr="004676A3">
        <w:rPr>
          <w:rFonts w:ascii="Calibri" w:hAnsi="Calibri" w:cs="Calibri"/>
          <w:b/>
          <w:bCs/>
          <w:lang w:val="en-US" w:eastAsia="fr-FR"/>
        </w:rPr>
        <w:t xml:space="preserve">Elena Mascova </w:t>
      </w:r>
    </w:p>
    <w:p w14:paraId="5B5C2F6A" w14:textId="77777777" w:rsidR="009D608F" w:rsidRPr="007B71C0" w:rsidRDefault="009D608F" w:rsidP="009D608F">
      <w:pPr>
        <w:spacing w:before="0" w:after="0" w:line="276" w:lineRule="auto"/>
        <w:jc w:val="right"/>
        <w:rPr>
          <w:rFonts w:ascii="Calibri" w:hAnsi="Calibri" w:cs="Calibri"/>
          <w:lang w:val="en-US" w:eastAsia="fr-FR"/>
        </w:rPr>
      </w:pPr>
      <w:r w:rsidRPr="007B71C0">
        <w:rPr>
          <w:rFonts w:ascii="Calibri" w:hAnsi="Calibri" w:cs="Calibri"/>
          <w:lang w:val="en-US" w:eastAsia="fr-FR"/>
        </w:rPr>
        <w:t>Chair on Inclusive Societies and Aging University of Lorraine</w:t>
      </w:r>
      <w:r>
        <w:rPr>
          <w:rFonts w:ascii="Calibri" w:hAnsi="Calibri" w:cs="Calibri"/>
          <w:lang w:val="en-US" w:eastAsia="fr-FR"/>
        </w:rPr>
        <w:t xml:space="preserve">, </w:t>
      </w:r>
      <w:r w:rsidRPr="007B71C0">
        <w:rPr>
          <w:rFonts w:ascii="Calibri" w:hAnsi="Calibri" w:cs="Calibri"/>
          <w:lang w:val="en-US" w:eastAsia="fr-FR"/>
        </w:rPr>
        <w:t>France</w:t>
      </w:r>
    </w:p>
    <w:p w14:paraId="7A93E2D3" w14:textId="77777777" w:rsidR="009D608F" w:rsidRPr="007B71C0" w:rsidRDefault="009D608F" w:rsidP="009D608F">
      <w:pPr>
        <w:spacing w:before="240" w:after="0" w:line="276" w:lineRule="auto"/>
        <w:jc w:val="right"/>
        <w:rPr>
          <w:rFonts w:ascii="Calibri" w:hAnsi="Calibri" w:cs="Calibri"/>
          <w:lang w:val="en-US" w:eastAsia="fr-FR"/>
        </w:rPr>
      </w:pPr>
    </w:p>
    <w:p w14:paraId="1671B962" w14:textId="77777777" w:rsidR="009D608F" w:rsidRPr="004676A3" w:rsidRDefault="009D608F" w:rsidP="009D608F">
      <w:pPr>
        <w:spacing w:before="0" w:after="0" w:line="276" w:lineRule="auto"/>
        <w:jc w:val="right"/>
        <w:rPr>
          <w:rFonts w:ascii="Calibri" w:hAnsi="Calibri" w:cs="Calibri"/>
          <w:b/>
          <w:bCs/>
          <w:lang w:val="en-US" w:eastAsia="fr-FR"/>
        </w:rPr>
      </w:pPr>
      <w:r w:rsidRPr="004676A3">
        <w:rPr>
          <w:rFonts w:ascii="Calibri" w:hAnsi="Calibri" w:cs="Calibri"/>
          <w:b/>
          <w:bCs/>
          <w:lang w:val="en-US" w:eastAsia="fr-FR"/>
        </w:rPr>
        <w:t xml:space="preserve">Radoslav Gruev </w:t>
      </w:r>
    </w:p>
    <w:p w14:paraId="23E19A7A" w14:textId="77777777" w:rsidR="009D608F" w:rsidRDefault="009D608F" w:rsidP="009D608F">
      <w:pPr>
        <w:spacing w:before="0" w:after="0" w:line="276" w:lineRule="auto"/>
        <w:jc w:val="right"/>
        <w:rPr>
          <w:rFonts w:ascii="Calibri" w:hAnsi="Calibri" w:cs="Calibri"/>
          <w:lang w:val="en-US" w:eastAsia="fr-FR"/>
        </w:rPr>
      </w:pPr>
      <w:r w:rsidRPr="007B71C0">
        <w:rPr>
          <w:rFonts w:ascii="Calibri" w:hAnsi="Calibri" w:cs="Calibri"/>
          <w:lang w:val="en-US" w:eastAsia="fr-FR"/>
        </w:rPr>
        <w:t>Senior Lecturer in Sociology, Head of Axe 4 of the International Chair on Inclusive Societies and Aging ICISA, CREAT, University of Lorraine, France</w:t>
      </w:r>
    </w:p>
    <w:p w14:paraId="469868E9" w14:textId="28FD30B4" w:rsidR="00BA268F" w:rsidRPr="00BA268F" w:rsidRDefault="00BA268F" w:rsidP="009D608F">
      <w:pPr>
        <w:spacing w:before="0" w:after="0" w:line="276" w:lineRule="auto"/>
        <w:jc w:val="right"/>
        <w:rPr>
          <w:rFonts w:ascii="Calibri" w:eastAsiaTheme="minorHAnsi" w:hAnsi="Calibri" w:cs="Calibri"/>
          <w:color w:val="FF0000"/>
          <w:lang w:val="en-US" w:eastAsia="fr-FR"/>
        </w:rPr>
      </w:pPr>
      <w:r w:rsidRPr="00BA268F">
        <w:rPr>
          <w:rFonts w:ascii="Calibri" w:eastAsiaTheme="minorHAnsi" w:hAnsi="Calibri" w:cs="Calibri"/>
          <w:color w:val="FF0000"/>
          <w:lang w:val="en-US" w:eastAsia="fr-FR"/>
        </w:rPr>
        <w:t>radoslav.gruev@univ-lorraine.fr</w:t>
      </w:r>
    </w:p>
    <w:p w14:paraId="20F004CD" w14:textId="77777777" w:rsidR="009D608F" w:rsidRPr="007B71C0" w:rsidRDefault="009D608F" w:rsidP="009D608F">
      <w:pPr>
        <w:spacing w:before="240" w:after="0" w:line="276" w:lineRule="auto"/>
        <w:jc w:val="right"/>
        <w:rPr>
          <w:rFonts w:ascii="Calibri" w:hAnsi="Calibri" w:cs="Calibri"/>
          <w:lang w:val="en-US" w:eastAsia="fr-FR"/>
        </w:rPr>
      </w:pPr>
    </w:p>
    <w:p w14:paraId="32F4F514" w14:textId="77777777" w:rsidR="009D608F" w:rsidRPr="004676A3" w:rsidRDefault="009D608F" w:rsidP="009D608F">
      <w:pPr>
        <w:spacing w:before="0" w:after="0" w:line="276" w:lineRule="auto"/>
        <w:jc w:val="right"/>
        <w:rPr>
          <w:rFonts w:ascii="Calibri" w:hAnsi="Calibri" w:cs="Calibri"/>
          <w:b/>
          <w:bCs/>
          <w:lang w:val="en-US" w:eastAsia="fr-FR"/>
        </w:rPr>
      </w:pPr>
      <w:r w:rsidRPr="004676A3">
        <w:rPr>
          <w:rFonts w:ascii="Calibri" w:hAnsi="Calibri" w:cs="Calibri"/>
          <w:b/>
          <w:bCs/>
          <w:lang w:val="en-US" w:eastAsia="fr-FR"/>
        </w:rPr>
        <w:t xml:space="preserve">Marion Scheider-Yilmaz </w:t>
      </w:r>
    </w:p>
    <w:p w14:paraId="7A6ADA7A" w14:textId="77777777" w:rsidR="009D608F" w:rsidRPr="007B71C0" w:rsidRDefault="009D608F" w:rsidP="009D608F">
      <w:pPr>
        <w:spacing w:before="0" w:after="0" w:line="276" w:lineRule="auto"/>
        <w:jc w:val="right"/>
        <w:rPr>
          <w:rFonts w:ascii="Calibri" w:hAnsi="Calibri" w:cs="Calibri"/>
          <w:lang w:val="en-US" w:eastAsia="fr-FR"/>
        </w:rPr>
      </w:pPr>
      <w:r w:rsidRPr="007B71C0">
        <w:rPr>
          <w:rFonts w:ascii="Calibri" w:hAnsi="Calibri" w:cs="Calibri"/>
          <w:lang w:val="en-US" w:eastAsia="fr-FR"/>
        </w:rPr>
        <w:t>Researcher</w:t>
      </w:r>
      <w:r w:rsidRPr="007B71C0">
        <w:rPr>
          <w:rFonts w:ascii="Calibri" w:hAnsi="Calibri" w:cs="Calibri"/>
          <w:lang w:val="en-US"/>
        </w:rPr>
        <w:t xml:space="preserve"> and Project Officers for Scientific and Institutional Partnerships</w:t>
      </w:r>
      <w:r w:rsidRPr="007B71C0">
        <w:rPr>
          <w:rFonts w:ascii="Calibri" w:hAnsi="Calibri" w:cs="Calibri"/>
          <w:lang w:val="en-US" w:eastAsia="fr-FR"/>
        </w:rPr>
        <w:t xml:space="preserve"> with ICISA, </w:t>
      </w:r>
      <w:r w:rsidRPr="007B71C0">
        <w:rPr>
          <w:rFonts w:ascii="Calibri" w:hAnsi="Calibri" w:cs="Calibri"/>
          <w:shd w:val="clear" w:color="auto" w:fill="FFFFFF"/>
          <w:lang w:val="en-US"/>
        </w:rPr>
        <w:t>Postdoctoral Fellow in Sociology at PACTE laboratory, French-German Research Program SPAGE (ANR/DFG), University of Grenoble</w:t>
      </w:r>
      <w:r>
        <w:rPr>
          <w:rFonts w:ascii="Calibri" w:hAnsi="Calibri" w:cs="Calibri"/>
          <w:shd w:val="clear" w:color="auto" w:fill="FFFFFF"/>
          <w:lang w:val="en-US"/>
        </w:rPr>
        <w:t xml:space="preserve">, </w:t>
      </w:r>
      <w:r w:rsidRPr="007B71C0">
        <w:rPr>
          <w:rFonts w:ascii="Calibri" w:hAnsi="Calibri" w:cs="Calibri"/>
          <w:lang w:val="en-US" w:eastAsia="fr-FR"/>
        </w:rPr>
        <w:t>France</w:t>
      </w:r>
    </w:p>
    <w:p w14:paraId="704C6ED5" w14:textId="5F45D541" w:rsidR="009D608F" w:rsidRPr="00BA268F" w:rsidRDefault="00BA268F" w:rsidP="00BA268F">
      <w:pPr>
        <w:spacing w:before="0" w:after="100" w:afterAutospacing="1" w:line="276" w:lineRule="auto"/>
        <w:jc w:val="right"/>
        <w:rPr>
          <w:rFonts w:ascii="Calibri" w:eastAsiaTheme="minorHAnsi" w:hAnsi="Calibri" w:cs="Calibri"/>
          <w:color w:val="FF0000"/>
          <w:lang w:val="en-US" w:eastAsia="fr-FR"/>
        </w:rPr>
      </w:pPr>
      <w:r w:rsidRPr="00BA268F">
        <w:rPr>
          <w:rFonts w:ascii="Calibri" w:eastAsiaTheme="minorHAnsi" w:hAnsi="Calibri" w:cs="Calibri"/>
          <w:color w:val="FF0000"/>
          <w:lang w:val="en-US" w:eastAsia="fr-FR"/>
        </w:rPr>
        <w:t>Marion.Scheider-Yilmaz@univ-grenoble-alpes.fr</w:t>
      </w:r>
    </w:p>
    <w:p w14:paraId="3F44CC9A" w14:textId="77777777" w:rsidR="009D608F" w:rsidRDefault="009D608F" w:rsidP="009D608F">
      <w:pPr>
        <w:spacing w:before="100" w:beforeAutospacing="1" w:after="100" w:afterAutospacing="1" w:line="276" w:lineRule="auto"/>
        <w:jc w:val="both"/>
        <w:rPr>
          <w:rFonts w:ascii="Arial" w:hAnsi="Arial" w:cs="Arial"/>
          <w:b/>
          <w:bCs/>
          <w:lang w:val="en-US" w:eastAsia="fr-FR"/>
        </w:rPr>
      </w:pPr>
    </w:p>
    <w:p w14:paraId="4D6A0716" w14:textId="77777777" w:rsidR="009D608F" w:rsidRDefault="009D608F" w:rsidP="009D608F">
      <w:pPr>
        <w:spacing w:before="100" w:beforeAutospacing="1" w:after="100" w:afterAutospacing="1" w:line="276" w:lineRule="auto"/>
        <w:jc w:val="both"/>
        <w:rPr>
          <w:rFonts w:ascii="Arial" w:hAnsi="Arial" w:cs="Arial"/>
          <w:b/>
          <w:bCs/>
          <w:lang w:val="en-US" w:eastAsia="fr-FR"/>
        </w:rPr>
      </w:pPr>
    </w:p>
    <w:p w14:paraId="779EBA58" w14:textId="77777777" w:rsidR="009D608F" w:rsidRPr="008A0F66" w:rsidRDefault="009D608F" w:rsidP="009D608F">
      <w:pPr>
        <w:spacing w:before="0" w:after="0" w:line="360" w:lineRule="auto"/>
        <w:jc w:val="both"/>
        <w:rPr>
          <w:rFonts w:ascii="Calibri" w:hAnsi="Calibri" w:cs="Calibri"/>
          <w:b/>
          <w:bCs/>
          <w:sz w:val="28"/>
          <w:szCs w:val="28"/>
          <w:lang w:val="en-US" w:eastAsia="fr-FR"/>
        </w:rPr>
      </w:pPr>
      <w:r w:rsidRPr="008A0F66">
        <w:rPr>
          <w:rFonts w:ascii="Calibri" w:hAnsi="Calibri" w:cs="Calibri"/>
          <w:b/>
          <w:bCs/>
          <w:sz w:val="28"/>
          <w:szCs w:val="28"/>
          <w:lang w:val="en-US" w:eastAsia="fr-FR"/>
        </w:rPr>
        <w:t>Abstract</w:t>
      </w:r>
    </w:p>
    <w:p w14:paraId="1F5FBCA1" w14:textId="77777777" w:rsidR="009D608F" w:rsidRPr="00C05A62" w:rsidRDefault="009D608F" w:rsidP="009D608F">
      <w:pPr>
        <w:spacing w:before="0" w:after="0" w:line="360" w:lineRule="auto"/>
        <w:jc w:val="both"/>
        <w:rPr>
          <w:rFonts w:ascii="Calibri" w:hAnsi="Calibri" w:cs="Calibri"/>
          <w:lang w:val="en-US"/>
        </w:rPr>
      </w:pPr>
      <w:r w:rsidRPr="00C05A62">
        <w:rPr>
          <w:rFonts w:ascii="Calibri" w:hAnsi="Calibri" w:cs="Calibri"/>
          <w:lang w:val="en-US"/>
        </w:rPr>
        <w:t>The global demographic transition presents challenges and opportunities for fostering inclusive societies that promote active citizenship and lifelong participation of older persons. Guided by the United Nations’ Principles for Older Persons (1991) and UNESCO’s Universal Declaration on Cultural Diversity (2001), this article emphasizes the issue of older adults’ inclusion in decision making processes within the context of participative democracies. It also explores interactions between older citizens, policymakers, and civil society, analyzing the conditions that enable participatory governance and the role of key stakeholders, including community organizations.</w:t>
      </w:r>
    </w:p>
    <w:p w14:paraId="36D42D4D" w14:textId="77777777" w:rsidR="009D608F" w:rsidRPr="00C05A62" w:rsidRDefault="009D608F" w:rsidP="009D608F">
      <w:pPr>
        <w:spacing w:before="0" w:after="0" w:line="360" w:lineRule="auto"/>
        <w:jc w:val="both"/>
        <w:rPr>
          <w:rFonts w:ascii="Calibri" w:hAnsi="Calibri" w:cs="Calibri"/>
          <w:lang w:val="en-US"/>
        </w:rPr>
      </w:pPr>
      <w:r w:rsidRPr="00C05A62">
        <w:rPr>
          <w:rFonts w:ascii="Calibri" w:hAnsi="Calibri" w:cs="Calibri"/>
          <w:lang w:val="en-US"/>
        </w:rPr>
        <w:t xml:space="preserve">The article examines Citizen Design Workshops (CDW), first implemented in the eastern region of France, and later expanded to other cities, some of which are engaged in the WHO’s Age-Friendly Cities initiative. The CDW methodology repositions older individuals in local decision-making processes, recognizing their diverse experiences and needs. </w:t>
      </w:r>
    </w:p>
    <w:p w14:paraId="04DAC163" w14:textId="77777777" w:rsidR="009D608F" w:rsidRPr="00C05A62" w:rsidRDefault="009D608F" w:rsidP="009D608F">
      <w:pPr>
        <w:spacing w:before="0" w:after="0" w:line="360" w:lineRule="auto"/>
        <w:jc w:val="both"/>
        <w:rPr>
          <w:rFonts w:ascii="Calibri" w:hAnsi="Calibri" w:cs="Calibri"/>
          <w:lang w:val="en-US"/>
        </w:rPr>
      </w:pPr>
      <w:r w:rsidRPr="00C05A62">
        <w:rPr>
          <w:rFonts w:ascii="Calibri" w:hAnsi="Calibri" w:cs="Calibri"/>
          <w:lang w:val="en-US"/>
        </w:rPr>
        <w:t>Beyond aging-related issues, this research considers how CDW methodologies can address broader issues on the role researchers in inclusive research and their potential contribution to social inclusion. The approach specifically targets specific groups often excluded from local decision-making.</w:t>
      </w:r>
    </w:p>
    <w:p w14:paraId="5739A158" w14:textId="77777777" w:rsidR="009D608F" w:rsidRPr="00C05A62" w:rsidRDefault="009D608F" w:rsidP="009D608F">
      <w:pPr>
        <w:spacing w:before="0" w:after="0" w:line="360" w:lineRule="auto"/>
        <w:jc w:val="both"/>
        <w:rPr>
          <w:rFonts w:ascii="Calibri" w:hAnsi="Calibri" w:cs="Calibri"/>
          <w:lang w:val="en-US"/>
        </w:rPr>
      </w:pPr>
      <w:r w:rsidRPr="00C05A62">
        <w:rPr>
          <w:rFonts w:ascii="Calibri" w:hAnsi="Calibri" w:cs="Calibri"/>
          <w:lang w:val="en-US"/>
        </w:rPr>
        <w:t>Findings suggest that participatory methodologies, embedded in gerontological engineering, can create a more inclusive and dynamic model of civic engagement across the life course. This approach aligns with broader efforts to develop age-inclusive public policies, ensuring older populations are recognized as key actors in shaping their communities.</w:t>
      </w:r>
    </w:p>
    <w:p w14:paraId="58EF9784" w14:textId="77777777" w:rsidR="009D608F" w:rsidRDefault="009D608F" w:rsidP="009D608F">
      <w:pPr>
        <w:spacing w:before="0" w:after="0" w:line="360" w:lineRule="auto"/>
        <w:jc w:val="both"/>
        <w:rPr>
          <w:rFonts w:ascii="Calibri" w:hAnsi="Calibri" w:cs="Calibri"/>
          <w:lang w:val="en-US"/>
        </w:rPr>
      </w:pPr>
      <w:r w:rsidRPr="008A0F66">
        <w:rPr>
          <w:rFonts w:ascii="Calibri" w:hAnsi="Calibri" w:cs="Calibri"/>
          <w:b/>
          <w:bCs/>
          <w:sz w:val="28"/>
          <w:szCs w:val="28"/>
          <w:lang w:val="en-US"/>
        </w:rPr>
        <w:t>Key words:</w:t>
      </w:r>
      <w:r w:rsidRPr="00C05A62">
        <w:rPr>
          <w:rFonts w:ascii="Calibri" w:hAnsi="Calibri" w:cs="Calibri"/>
          <w:lang w:val="en-US"/>
        </w:rPr>
        <w:t xml:space="preserve"> ageing and sustainable citizenship, </w:t>
      </w:r>
      <w:proofErr w:type="spellStart"/>
      <w:r w:rsidRPr="00C05A62">
        <w:rPr>
          <w:rFonts w:ascii="Calibri" w:hAnsi="Calibri" w:cs="Calibri"/>
          <w:lang w:val="en-US"/>
        </w:rPr>
        <w:t>lifecourse</w:t>
      </w:r>
      <w:proofErr w:type="spellEnd"/>
      <w:r w:rsidRPr="00C05A62">
        <w:rPr>
          <w:rFonts w:ascii="Calibri" w:hAnsi="Calibri" w:cs="Calibri"/>
          <w:lang w:val="en-US"/>
        </w:rPr>
        <w:t xml:space="preserve"> approach to civic engagement, participatory methodologies, gerontological engineering, rights of older people.</w:t>
      </w:r>
    </w:p>
    <w:p w14:paraId="7A948807" w14:textId="77777777" w:rsidR="009D608F" w:rsidRDefault="009D608F" w:rsidP="009D608F">
      <w:pPr>
        <w:spacing w:before="0" w:after="0" w:line="360" w:lineRule="auto"/>
        <w:jc w:val="both"/>
        <w:rPr>
          <w:rFonts w:ascii="Calibri" w:hAnsi="Calibri" w:cs="Calibri"/>
          <w:lang w:val="en-US"/>
        </w:rPr>
      </w:pPr>
    </w:p>
    <w:p w14:paraId="2F337605" w14:textId="77777777" w:rsidR="009D608F" w:rsidRDefault="009D608F" w:rsidP="009D608F">
      <w:pPr>
        <w:spacing w:line="360" w:lineRule="auto"/>
        <w:jc w:val="both"/>
        <w:rPr>
          <w:rFonts w:ascii="Calibri" w:hAnsi="Calibri" w:cs="Calibri"/>
          <w:lang w:val="en-US"/>
        </w:rPr>
      </w:pPr>
      <w:proofErr w:type="spellStart"/>
      <w:r w:rsidRPr="008A0F66">
        <w:rPr>
          <w:rFonts w:ascii="Calibri" w:hAnsi="Calibri" w:cs="Calibri"/>
          <w:b/>
          <w:bCs/>
          <w:sz w:val="28"/>
          <w:szCs w:val="28"/>
          <w:lang w:val="en-US"/>
        </w:rPr>
        <w:t>Resumen</w:t>
      </w:r>
      <w:proofErr w:type="spellEnd"/>
    </w:p>
    <w:p w14:paraId="644372DC" w14:textId="77777777" w:rsidR="009D608F" w:rsidRDefault="009D608F" w:rsidP="009D608F">
      <w:pPr>
        <w:spacing w:line="360" w:lineRule="auto"/>
        <w:jc w:val="both"/>
        <w:rPr>
          <w:rFonts w:ascii="Calibri" w:hAnsi="Calibri" w:cs="Calibri"/>
          <w:lang w:val="en-US"/>
        </w:rPr>
      </w:pPr>
      <w:r w:rsidRPr="008A0F66">
        <w:rPr>
          <w:rFonts w:ascii="Calibri" w:hAnsi="Calibri" w:cs="Calibri"/>
          <w:lang w:val="en-US"/>
        </w:rPr>
        <w:t xml:space="preserve">La </w:t>
      </w:r>
      <w:proofErr w:type="spellStart"/>
      <w:r w:rsidRPr="008A0F66">
        <w:rPr>
          <w:rFonts w:ascii="Calibri" w:hAnsi="Calibri" w:cs="Calibri"/>
          <w:lang w:val="en-US"/>
        </w:rPr>
        <w:t>transición</w:t>
      </w:r>
      <w:proofErr w:type="spellEnd"/>
      <w:r w:rsidRPr="008A0F66">
        <w:rPr>
          <w:rFonts w:ascii="Calibri" w:hAnsi="Calibri" w:cs="Calibri"/>
          <w:lang w:val="en-US"/>
        </w:rPr>
        <w:t xml:space="preserve"> </w:t>
      </w:r>
      <w:proofErr w:type="spellStart"/>
      <w:r w:rsidRPr="008A0F66">
        <w:rPr>
          <w:rFonts w:ascii="Calibri" w:hAnsi="Calibri" w:cs="Calibri"/>
          <w:lang w:val="en-US"/>
        </w:rPr>
        <w:t>demográfica</w:t>
      </w:r>
      <w:proofErr w:type="spellEnd"/>
      <w:r w:rsidRPr="008A0F66">
        <w:rPr>
          <w:rFonts w:ascii="Calibri" w:hAnsi="Calibri" w:cs="Calibri"/>
          <w:lang w:val="en-US"/>
        </w:rPr>
        <w:t xml:space="preserve"> global </w:t>
      </w:r>
      <w:proofErr w:type="spellStart"/>
      <w:r w:rsidRPr="008A0F66">
        <w:rPr>
          <w:rFonts w:ascii="Calibri" w:hAnsi="Calibri" w:cs="Calibri"/>
          <w:lang w:val="en-US"/>
        </w:rPr>
        <w:t>presenta</w:t>
      </w:r>
      <w:proofErr w:type="spellEnd"/>
      <w:r w:rsidRPr="008A0F66">
        <w:rPr>
          <w:rFonts w:ascii="Calibri" w:hAnsi="Calibri" w:cs="Calibri"/>
          <w:lang w:val="en-US"/>
        </w:rPr>
        <w:t xml:space="preserve"> </w:t>
      </w:r>
      <w:proofErr w:type="spellStart"/>
      <w:r w:rsidRPr="008A0F66">
        <w:rPr>
          <w:rFonts w:ascii="Calibri" w:hAnsi="Calibri" w:cs="Calibri"/>
          <w:lang w:val="en-US"/>
        </w:rPr>
        <w:t>desafíos</w:t>
      </w:r>
      <w:proofErr w:type="spellEnd"/>
      <w:r w:rsidRPr="008A0F66">
        <w:rPr>
          <w:rFonts w:ascii="Calibri" w:hAnsi="Calibri" w:cs="Calibri"/>
          <w:lang w:val="en-US"/>
        </w:rPr>
        <w:t xml:space="preserve"> y </w:t>
      </w:r>
      <w:proofErr w:type="spellStart"/>
      <w:r w:rsidRPr="008A0F66">
        <w:rPr>
          <w:rFonts w:ascii="Calibri" w:hAnsi="Calibri" w:cs="Calibri"/>
          <w:lang w:val="en-US"/>
        </w:rPr>
        <w:t>oportunidades</w:t>
      </w:r>
      <w:proofErr w:type="spellEnd"/>
      <w:r w:rsidRPr="008A0F66">
        <w:rPr>
          <w:rFonts w:ascii="Calibri" w:hAnsi="Calibri" w:cs="Calibri"/>
          <w:lang w:val="en-US"/>
        </w:rPr>
        <w:t xml:space="preserve"> para </w:t>
      </w:r>
      <w:proofErr w:type="spellStart"/>
      <w:r w:rsidRPr="008A0F66">
        <w:rPr>
          <w:rFonts w:ascii="Calibri" w:hAnsi="Calibri" w:cs="Calibri"/>
          <w:lang w:val="en-US"/>
        </w:rPr>
        <w:t>fomentar</w:t>
      </w:r>
      <w:proofErr w:type="spellEnd"/>
      <w:r w:rsidRPr="008A0F66">
        <w:rPr>
          <w:rFonts w:ascii="Calibri" w:hAnsi="Calibri" w:cs="Calibri"/>
          <w:lang w:val="en-US"/>
        </w:rPr>
        <w:t xml:space="preserve"> </w:t>
      </w:r>
      <w:proofErr w:type="spellStart"/>
      <w:r w:rsidRPr="008A0F66">
        <w:rPr>
          <w:rFonts w:ascii="Calibri" w:hAnsi="Calibri" w:cs="Calibri"/>
          <w:lang w:val="en-US"/>
        </w:rPr>
        <w:t>sociedades</w:t>
      </w:r>
      <w:proofErr w:type="spellEnd"/>
      <w:r w:rsidRPr="008A0F66">
        <w:rPr>
          <w:rFonts w:ascii="Calibri" w:hAnsi="Calibri" w:cs="Calibri"/>
          <w:lang w:val="en-US"/>
        </w:rPr>
        <w:t xml:space="preserve"> </w:t>
      </w:r>
      <w:proofErr w:type="spellStart"/>
      <w:r w:rsidRPr="008A0F66">
        <w:rPr>
          <w:rFonts w:ascii="Calibri" w:hAnsi="Calibri" w:cs="Calibri"/>
          <w:lang w:val="en-US"/>
        </w:rPr>
        <w:t>inclusivas</w:t>
      </w:r>
      <w:proofErr w:type="spellEnd"/>
      <w:r w:rsidRPr="008A0F66">
        <w:rPr>
          <w:rFonts w:ascii="Calibri" w:hAnsi="Calibri" w:cs="Calibri"/>
          <w:lang w:val="en-US"/>
        </w:rPr>
        <w:t xml:space="preserve"> que </w:t>
      </w:r>
      <w:proofErr w:type="spellStart"/>
      <w:r w:rsidRPr="008A0F66">
        <w:rPr>
          <w:rFonts w:ascii="Calibri" w:hAnsi="Calibri" w:cs="Calibri"/>
          <w:lang w:val="en-US"/>
        </w:rPr>
        <w:t>promuevan</w:t>
      </w:r>
      <w:proofErr w:type="spellEnd"/>
      <w:r w:rsidRPr="008A0F66">
        <w:rPr>
          <w:rFonts w:ascii="Calibri" w:hAnsi="Calibri" w:cs="Calibri"/>
          <w:lang w:val="en-US"/>
        </w:rPr>
        <w:t xml:space="preserve"> la </w:t>
      </w:r>
      <w:proofErr w:type="spellStart"/>
      <w:r w:rsidRPr="008A0F66">
        <w:rPr>
          <w:rFonts w:ascii="Calibri" w:hAnsi="Calibri" w:cs="Calibri"/>
          <w:lang w:val="en-US"/>
        </w:rPr>
        <w:t>ciudadanía</w:t>
      </w:r>
      <w:proofErr w:type="spellEnd"/>
      <w:r w:rsidRPr="008A0F66">
        <w:rPr>
          <w:rFonts w:ascii="Calibri" w:hAnsi="Calibri" w:cs="Calibri"/>
          <w:lang w:val="en-US"/>
        </w:rPr>
        <w:t xml:space="preserve"> </w:t>
      </w:r>
      <w:proofErr w:type="spellStart"/>
      <w:r w:rsidRPr="008A0F66">
        <w:rPr>
          <w:rFonts w:ascii="Calibri" w:hAnsi="Calibri" w:cs="Calibri"/>
          <w:lang w:val="en-US"/>
        </w:rPr>
        <w:t>activa</w:t>
      </w:r>
      <w:proofErr w:type="spellEnd"/>
      <w:r w:rsidRPr="008A0F66">
        <w:rPr>
          <w:rFonts w:ascii="Calibri" w:hAnsi="Calibri" w:cs="Calibri"/>
          <w:lang w:val="en-US"/>
        </w:rPr>
        <w:t xml:space="preserve"> y la </w:t>
      </w:r>
      <w:proofErr w:type="spellStart"/>
      <w:r w:rsidRPr="008A0F66">
        <w:rPr>
          <w:rFonts w:ascii="Calibri" w:hAnsi="Calibri" w:cs="Calibri"/>
          <w:lang w:val="en-US"/>
        </w:rPr>
        <w:t>participación</w:t>
      </w:r>
      <w:proofErr w:type="spellEnd"/>
      <w:r w:rsidRPr="008A0F66">
        <w:rPr>
          <w:rFonts w:ascii="Calibri" w:hAnsi="Calibri" w:cs="Calibri"/>
          <w:lang w:val="en-US"/>
        </w:rPr>
        <w:t xml:space="preserve"> a lo largo de la </w:t>
      </w:r>
      <w:proofErr w:type="spellStart"/>
      <w:r w:rsidRPr="008A0F66">
        <w:rPr>
          <w:rFonts w:ascii="Calibri" w:hAnsi="Calibri" w:cs="Calibri"/>
          <w:lang w:val="en-US"/>
        </w:rPr>
        <w:t>vida</w:t>
      </w:r>
      <w:proofErr w:type="spellEnd"/>
      <w:r w:rsidRPr="008A0F66">
        <w:rPr>
          <w:rFonts w:ascii="Calibri" w:hAnsi="Calibri" w:cs="Calibri"/>
          <w:lang w:val="en-US"/>
        </w:rPr>
        <w:t xml:space="preserve"> de las personas </w:t>
      </w:r>
      <w:proofErr w:type="spellStart"/>
      <w:r w:rsidRPr="008A0F66">
        <w:rPr>
          <w:rFonts w:ascii="Calibri" w:hAnsi="Calibri" w:cs="Calibri"/>
          <w:lang w:val="en-US"/>
        </w:rPr>
        <w:t>mayores</w:t>
      </w:r>
      <w:proofErr w:type="spellEnd"/>
      <w:r w:rsidRPr="008A0F66">
        <w:rPr>
          <w:rFonts w:ascii="Calibri" w:hAnsi="Calibri" w:cs="Calibri"/>
          <w:lang w:val="en-US"/>
        </w:rPr>
        <w:t xml:space="preserve">. </w:t>
      </w:r>
      <w:proofErr w:type="spellStart"/>
      <w:r w:rsidRPr="008A0F66">
        <w:rPr>
          <w:rFonts w:ascii="Calibri" w:hAnsi="Calibri" w:cs="Calibri"/>
          <w:lang w:val="en-US"/>
        </w:rPr>
        <w:t>Guiado</w:t>
      </w:r>
      <w:proofErr w:type="spellEnd"/>
      <w:r w:rsidRPr="008A0F66">
        <w:rPr>
          <w:rFonts w:ascii="Calibri" w:hAnsi="Calibri" w:cs="Calibri"/>
          <w:lang w:val="en-US"/>
        </w:rPr>
        <w:t xml:space="preserve"> </w:t>
      </w:r>
      <w:proofErr w:type="spellStart"/>
      <w:r w:rsidRPr="008A0F66">
        <w:rPr>
          <w:rFonts w:ascii="Calibri" w:hAnsi="Calibri" w:cs="Calibri"/>
          <w:lang w:val="en-US"/>
        </w:rPr>
        <w:t>por</w:t>
      </w:r>
      <w:proofErr w:type="spellEnd"/>
      <w:r w:rsidRPr="008A0F66">
        <w:rPr>
          <w:rFonts w:ascii="Calibri" w:hAnsi="Calibri" w:cs="Calibri"/>
          <w:lang w:val="en-US"/>
        </w:rPr>
        <w:t xml:space="preserve"> </w:t>
      </w:r>
      <w:proofErr w:type="spellStart"/>
      <w:r w:rsidRPr="008A0F66">
        <w:rPr>
          <w:rFonts w:ascii="Calibri" w:hAnsi="Calibri" w:cs="Calibri"/>
          <w:lang w:val="en-US"/>
        </w:rPr>
        <w:t>los</w:t>
      </w:r>
      <w:proofErr w:type="spellEnd"/>
      <w:r w:rsidRPr="008A0F66">
        <w:rPr>
          <w:rFonts w:ascii="Calibri" w:hAnsi="Calibri" w:cs="Calibri"/>
          <w:lang w:val="en-US"/>
        </w:rPr>
        <w:t xml:space="preserve"> </w:t>
      </w:r>
      <w:proofErr w:type="spellStart"/>
      <w:r w:rsidRPr="008A0F66">
        <w:rPr>
          <w:rFonts w:ascii="Calibri" w:hAnsi="Calibri" w:cs="Calibri"/>
          <w:lang w:val="en-US"/>
        </w:rPr>
        <w:t>Principios</w:t>
      </w:r>
      <w:proofErr w:type="spellEnd"/>
      <w:r w:rsidRPr="008A0F66">
        <w:rPr>
          <w:rFonts w:ascii="Calibri" w:hAnsi="Calibri" w:cs="Calibri"/>
          <w:lang w:val="en-US"/>
        </w:rPr>
        <w:t xml:space="preserve"> de las </w:t>
      </w:r>
      <w:proofErr w:type="spellStart"/>
      <w:r w:rsidRPr="008A0F66">
        <w:rPr>
          <w:rFonts w:ascii="Calibri" w:hAnsi="Calibri" w:cs="Calibri"/>
          <w:lang w:val="en-US"/>
        </w:rPr>
        <w:t>Naciones</w:t>
      </w:r>
      <w:proofErr w:type="spellEnd"/>
      <w:r w:rsidRPr="008A0F66">
        <w:rPr>
          <w:rFonts w:ascii="Calibri" w:hAnsi="Calibri" w:cs="Calibri"/>
          <w:lang w:val="en-US"/>
        </w:rPr>
        <w:t xml:space="preserve"> Unidas </w:t>
      </w:r>
      <w:proofErr w:type="spellStart"/>
      <w:r w:rsidRPr="008A0F66">
        <w:rPr>
          <w:rFonts w:ascii="Calibri" w:hAnsi="Calibri" w:cs="Calibri"/>
          <w:lang w:val="en-US"/>
        </w:rPr>
        <w:t>en</w:t>
      </w:r>
      <w:proofErr w:type="spellEnd"/>
      <w:r w:rsidRPr="008A0F66">
        <w:rPr>
          <w:rFonts w:ascii="Calibri" w:hAnsi="Calibri" w:cs="Calibri"/>
          <w:lang w:val="en-US"/>
        </w:rPr>
        <w:t xml:space="preserve"> favor de las Personas </w:t>
      </w:r>
      <w:r w:rsidRPr="008A0F66">
        <w:rPr>
          <w:rFonts w:ascii="Calibri" w:hAnsi="Calibri" w:cs="Calibri"/>
          <w:lang w:val="en-US"/>
        </w:rPr>
        <w:lastRenderedPageBreak/>
        <w:t xml:space="preserve">de </w:t>
      </w:r>
      <w:proofErr w:type="spellStart"/>
      <w:r w:rsidRPr="008A0F66">
        <w:rPr>
          <w:rFonts w:ascii="Calibri" w:hAnsi="Calibri" w:cs="Calibri"/>
          <w:lang w:val="en-US"/>
        </w:rPr>
        <w:t>Edad</w:t>
      </w:r>
      <w:proofErr w:type="spellEnd"/>
      <w:r w:rsidRPr="008A0F66">
        <w:rPr>
          <w:rFonts w:ascii="Calibri" w:hAnsi="Calibri" w:cs="Calibri"/>
          <w:lang w:val="en-US"/>
        </w:rPr>
        <w:t xml:space="preserve"> (1991) y la </w:t>
      </w:r>
      <w:proofErr w:type="spellStart"/>
      <w:r w:rsidRPr="008A0F66">
        <w:rPr>
          <w:rFonts w:ascii="Calibri" w:hAnsi="Calibri" w:cs="Calibri"/>
          <w:lang w:val="en-US"/>
        </w:rPr>
        <w:t>Declaración</w:t>
      </w:r>
      <w:proofErr w:type="spellEnd"/>
      <w:r w:rsidRPr="008A0F66">
        <w:rPr>
          <w:rFonts w:ascii="Calibri" w:hAnsi="Calibri" w:cs="Calibri"/>
          <w:lang w:val="en-US"/>
        </w:rPr>
        <w:t xml:space="preserve"> Universal </w:t>
      </w:r>
      <w:proofErr w:type="spellStart"/>
      <w:r w:rsidRPr="008A0F66">
        <w:rPr>
          <w:rFonts w:ascii="Calibri" w:hAnsi="Calibri" w:cs="Calibri"/>
          <w:lang w:val="en-US"/>
        </w:rPr>
        <w:t>sobre</w:t>
      </w:r>
      <w:proofErr w:type="spellEnd"/>
      <w:r w:rsidRPr="008A0F66">
        <w:rPr>
          <w:rFonts w:ascii="Calibri" w:hAnsi="Calibri" w:cs="Calibri"/>
          <w:lang w:val="en-US"/>
        </w:rPr>
        <w:t xml:space="preserve"> la </w:t>
      </w:r>
      <w:proofErr w:type="spellStart"/>
      <w:r w:rsidRPr="008A0F66">
        <w:rPr>
          <w:rFonts w:ascii="Calibri" w:hAnsi="Calibri" w:cs="Calibri"/>
          <w:lang w:val="en-US"/>
        </w:rPr>
        <w:t>Diversidad</w:t>
      </w:r>
      <w:proofErr w:type="spellEnd"/>
      <w:r w:rsidRPr="008A0F66">
        <w:rPr>
          <w:rFonts w:ascii="Calibri" w:hAnsi="Calibri" w:cs="Calibri"/>
          <w:lang w:val="en-US"/>
        </w:rPr>
        <w:t xml:space="preserve"> Cultural de la UNESCO (2001), </w:t>
      </w:r>
      <w:proofErr w:type="spellStart"/>
      <w:r w:rsidRPr="008A0F66">
        <w:rPr>
          <w:rFonts w:ascii="Calibri" w:hAnsi="Calibri" w:cs="Calibri"/>
          <w:lang w:val="en-US"/>
        </w:rPr>
        <w:t>este</w:t>
      </w:r>
      <w:proofErr w:type="spellEnd"/>
      <w:r w:rsidRPr="008A0F66">
        <w:rPr>
          <w:rFonts w:ascii="Calibri" w:hAnsi="Calibri" w:cs="Calibri"/>
          <w:lang w:val="en-US"/>
        </w:rPr>
        <w:t xml:space="preserve"> </w:t>
      </w:r>
      <w:proofErr w:type="spellStart"/>
      <w:r w:rsidRPr="008A0F66">
        <w:rPr>
          <w:rFonts w:ascii="Calibri" w:hAnsi="Calibri" w:cs="Calibri"/>
          <w:lang w:val="en-US"/>
        </w:rPr>
        <w:t>artículo</w:t>
      </w:r>
      <w:proofErr w:type="spellEnd"/>
      <w:r w:rsidRPr="008A0F66">
        <w:rPr>
          <w:rFonts w:ascii="Calibri" w:hAnsi="Calibri" w:cs="Calibri"/>
          <w:lang w:val="en-US"/>
        </w:rPr>
        <w:t xml:space="preserve"> </w:t>
      </w:r>
      <w:proofErr w:type="spellStart"/>
      <w:r w:rsidRPr="008A0F66">
        <w:rPr>
          <w:rFonts w:ascii="Calibri" w:hAnsi="Calibri" w:cs="Calibri"/>
          <w:lang w:val="en-US"/>
        </w:rPr>
        <w:t>enfatiza</w:t>
      </w:r>
      <w:proofErr w:type="spellEnd"/>
      <w:r w:rsidRPr="008A0F66">
        <w:rPr>
          <w:rFonts w:ascii="Calibri" w:hAnsi="Calibri" w:cs="Calibri"/>
          <w:lang w:val="en-US"/>
        </w:rPr>
        <w:t xml:space="preserve"> la </w:t>
      </w:r>
      <w:proofErr w:type="spellStart"/>
      <w:r w:rsidRPr="008A0F66">
        <w:rPr>
          <w:rFonts w:ascii="Calibri" w:hAnsi="Calibri" w:cs="Calibri"/>
          <w:lang w:val="en-US"/>
        </w:rPr>
        <w:t>inclusión</w:t>
      </w:r>
      <w:proofErr w:type="spellEnd"/>
      <w:r w:rsidRPr="008A0F66">
        <w:rPr>
          <w:rFonts w:ascii="Calibri" w:hAnsi="Calibri" w:cs="Calibri"/>
          <w:lang w:val="en-US"/>
        </w:rPr>
        <w:t xml:space="preserve"> de las personas </w:t>
      </w:r>
      <w:proofErr w:type="spellStart"/>
      <w:r w:rsidRPr="008A0F66">
        <w:rPr>
          <w:rFonts w:ascii="Calibri" w:hAnsi="Calibri" w:cs="Calibri"/>
          <w:lang w:val="en-US"/>
        </w:rPr>
        <w:t>mayores</w:t>
      </w:r>
      <w:proofErr w:type="spellEnd"/>
      <w:r w:rsidRPr="008A0F66">
        <w:rPr>
          <w:rFonts w:ascii="Calibri" w:hAnsi="Calibri" w:cs="Calibri"/>
          <w:lang w:val="en-US"/>
        </w:rPr>
        <w:t xml:space="preserve"> </w:t>
      </w:r>
      <w:proofErr w:type="spellStart"/>
      <w:r w:rsidRPr="008A0F66">
        <w:rPr>
          <w:rFonts w:ascii="Calibri" w:hAnsi="Calibri" w:cs="Calibri"/>
          <w:lang w:val="en-US"/>
        </w:rPr>
        <w:t>en</w:t>
      </w:r>
      <w:proofErr w:type="spellEnd"/>
      <w:r w:rsidRPr="008A0F66">
        <w:rPr>
          <w:rFonts w:ascii="Calibri" w:hAnsi="Calibri" w:cs="Calibri"/>
          <w:lang w:val="en-US"/>
        </w:rPr>
        <w:t xml:space="preserve"> </w:t>
      </w:r>
      <w:proofErr w:type="spellStart"/>
      <w:r w:rsidRPr="008A0F66">
        <w:rPr>
          <w:rFonts w:ascii="Calibri" w:hAnsi="Calibri" w:cs="Calibri"/>
          <w:lang w:val="en-US"/>
        </w:rPr>
        <w:t>los</w:t>
      </w:r>
      <w:proofErr w:type="spellEnd"/>
      <w:r w:rsidRPr="008A0F66">
        <w:rPr>
          <w:rFonts w:ascii="Calibri" w:hAnsi="Calibri" w:cs="Calibri"/>
          <w:lang w:val="en-US"/>
        </w:rPr>
        <w:t xml:space="preserve"> </w:t>
      </w:r>
      <w:proofErr w:type="spellStart"/>
      <w:r w:rsidRPr="008A0F66">
        <w:rPr>
          <w:rFonts w:ascii="Calibri" w:hAnsi="Calibri" w:cs="Calibri"/>
          <w:lang w:val="en-US"/>
        </w:rPr>
        <w:t>procesos</w:t>
      </w:r>
      <w:proofErr w:type="spellEnd"/>
      <w:r w:rsidRPr="008A0F66">
        <w:rPr>
          <w:rFonts w:ascii="Calibri" w:hAnsi="Calibri" w:cs="Calibri"/>
          <w:lang w:val="en-US"/>
        </w:rPr>
        <w:t xml:space="preserve"> de </w:t>
      </w:r>
      <w:proofErr w:type="spellStart"/>
      <w:r w:rsidRPr="008A0F66">
        <w:rPr>
          <w:rFonts w:ascii="Calibri" w:hAnsi="Calibri" w:cs="Calibri"/>
          <w:lang w:val="en-US"/>
        </w:rPr>
        <w:t>toma</w:t>
      </w:r>
      <w:proofErr w:type="spellEnd"/>
      <w:r w:rsidRPr="008A0F66">
        <w:rPr>
          <w:rFonts w:ascii="Calibri" w:hAnsi="Calibri" w:cs="Calibri"/>
          <w:lang w:val="en-US"/>
        </w:rPr>
        <w:t xml:space="preserve"> de </w:t>
      </w:r>
      <w:proofErr w:type="spellStart"/>
      <w:r w:rsidRPr="008A0F66">
        <w:rPr>
          <w:rFonts w:ascii="Calibri" w:hAnsi="Calibri" w:cs="Calibri"/>
          <w:lang w:val="en-US"/>
        </w:rPr>
        <w:t>decisiones</w:t>
      </w:r>
      <w:proofErr w:type="spellEnd"/>
      <w:r w:rsidRPr="008A0F66">
        <w:rPr>
          <w:rFonts w:ascii="Calibri" w:hAnsi="Calibri" w:cs="Calibri"/>
          <w:lang w:val="en-US"/>
        </w:rPr>
        <w:t xml:space="preserve"> </w:t>
      </w:r>
      <w:proofErr w:type="spellStart"/>
      <w:r w:rsidRPr="008A0F66">
        <w:rPr>
          <w:rFonts w:ascii="Calibri" w:hAnsi="Calibri" w:cs="Calibri"/>
          <w:lang w:val="en-US"/>
        </w:rPr>
        <w:t>en</w:t>
      </w:r>
      <w:proofErr w:type="spellEnd"/>
      <w:r w:rsidRPr="008A0F66">
        <w:rPr>
          <w:rFonts w:ascii="Calibri" w:hAnsi="Calibri" w:cs="Calibri"/>
          <w:lang w:val="en-US"/>
        </w:rPr>
        <w:t xml:space="preserve"> </w:t>
      </w:r>
      <w:proofErr w:type="spellStart"/>
      <w:r w:rsidRPr="008A0F66">
        <w:rPr>
          <w:rFonts w:ascii="Calibri" w:hAnsi="Calibri" w:cs="Calibri"/>
          <w:lang w:val="en-US"/>
        </w:rPr>
        <w:t>el</w:t>
      </w:r>
      <w:proofErr w:type="spellEnd"/>
      <w:r w:rsidRPr="008A0F66">
        <w:rPr>
          <w:rFonts w:ascii="Calibri" w:hAnsi="Calibri" w:cs="Calibri"/>
          <w:lang w:val="en-US"/>
        </w:rPr>
        <w:t xml:space="preserve"> </w:t>
      </w:r>
      <w:proofErr w:type="spellStart"/>
      <w:r w:rsidRPr="008A0F66">
        <w:rPr>
          <w:rFonts w:ascii="Calibri" w:hAnsi="Calibri" w:cs="Calibri"/>
          <w:lang w:val="en-US"/>
        </w:rPr>
        <w:t>contexto</w:t>
      </w:r>
      <w:proofErr w:type="spellEnd"/>
      <w:r w:rsidRPr="008A0F66">
        <w:rPr>
          <w:rFonts w:ascii="Calibri" w:hAnsi="Calibri" w:cs="Calibri"/>
          <w:lang w:val="en-US"/>
        </w:rPr>
        <w:t xml:space="preserve"> de las </w:t>
      </w:r>
      <w:proofErr w:type="spellStart"/>
      <w:r w:rsidRPr="008A0F66">
        <w:rPr>
          <w:rFonts w:ascii="Calibri" w:hAnsi="Calibri" w:cs="Calibri"/>
          <w:lang w:val="en-US"/>
        </w:rPr>
        <w:t>democracias</w:t>
      </w:r>
      <w:proofErr w:type="spellEnd"/>
      <w:r w:rsidRPr="008A0F66">
        <w:rPr>
          <w:rFonts w:ascii="Calibri" w:hAnsi="Calibri" w:cs="Calibri"/>
          <w:lang w:val="en-US"/>
        </w:rPr>
        <w:t xml:space="preserve"> </w:t>
      </w:r>
      <w:proofErr w:type="spellStart"/>
      <w:r w:rsidRPr="008A0F66">
        <w:rPr>
          <w:rFonts w:ascii="Calibri" w:hAnsi="Calibri" w:cs="Calibri"/>
          <w:lang w:val="en-US"/>
        </w:rPr>
        <w:t>participativas</w:t>
      </w:r>
      <w:proofErr w:type="spellEnd"/>
      <w:r w:rsidRPr="008A0F66">
        <w:rPr>
          <w:rFonts w:ascii="Calibri" w:hAnsi="Calibri" w:cs="Calibri"/>
          <w:lang w:val="en-US"/>
        </w:rPr>
        <w:t xml:space="preserve">. También </w:t>
      </w:r>
      <w:proofErr w:type="spellStart"/>
      <w:r w:rsidRPr="008A0F66">
        <w:rPr>
          <w:rFonts w:ascii="Calibri" w:hAnsi="Calibri" w:cs="Calibri"/>
          <w:lang w:val="en-US"/>
        </w:rPr>
        <w:t>explora</w:t>
      </w:r>
      <w:proofErr w:type="spellEnd"/>
      <w:r w:rsidRPr="008A0F66">
        <w:rPr>
          <w:rFonts w:ascii="Calibri" w:hAnsi="Calibri" w:cs="Calibri"/>
          <w:lang w:val="en-US"/>
        </w:rPr>
        <w:t xml:space="preserve"> las </w:t>
      </w:r>
      <w:proofErr w:type="spellStart"/>
      <w:r w:rsidRPr="008A0F66">
        <w:rPr>
          <w:rFonts w:ascii="Calibri" w:hAnsi="Calibri" w:cs="Calibri"/>
          <w:lang w:val="en-US"/>
        </w:rPr>
        <w:t>interacciones</w:t>
      </w:r>
      <w:proofErr w:type="spellEnd"/>
      <w:r w:rsidRPr="008A0F66">
        <w:rPr>
          <w:rFonts w:ascii="Calibri" w:hAnsi="Calibri" w:cs="Calibri"/>
          <w:lang w:val="en-US"/>
        </w:rPr>
        <w:t xml:space="preserve"> entre las personas </w:t>
      </w:r>
      <w:proofErr w:type="spellStart"/>
      <w:r w:rsidRPr="008A0F66">
        <w:rPr>
          <w:rFonts w:ascii="Calibri" w:hAnsi="Calibri" w:cs="Calibri"/>
          <w:lang w:val="en-US"/>
        </w:rPr>
        <w:t>mayores</w:t>
      </w:r>
      <w:proofErr w:type="spellEnd"/>
      <w:r w:rsidRPr="008A0F66">
        <w:rPr>
          <w:rFonts w:ascii="Calibri" w:hAnsi="Calibri" w:cs="Calibri"/>
          <w:lang w:val="en-US"/>
        </w:rPr>
        <w:t xml:space="preserve">, </w:t>
      </w:r>
      <w:proofErr w:type="spellStart"/>
      <w:r w:rsidRPr="008A0F66">
        <w:rPr>
          <w:rFonts w:ascii="Calibri" w:hAnsi="Calibri" w:cs="Calibri"/>
          <w:lang w:val="en-US"/>
        </w:rPr>
        <w:t>los</w:t>
      </w:r>
      <w:proofErr w:type="spellEnd"/>
      <w:r w:rsidRPr="008A0F66">
        <w:rPr>
          <w:rFonts w:ascii="Calibri" w:hAnsi="Calibri" w:cs="Calibri"/>
          <w:lang w:val="en-US"/>
        </w:rPr>
        <w:t xml:space="preserve"> </w:t>
      </w:r>
      <w:proofErr w:type="spellStart"/>
      <w:r w:rsidRPr="008A0F66">
        <w:rPr>
          <w:rFonts w:ascii="Calibri" w:hAnsi="Calibri" w:cs="Calibri"/>
          <w:lang w:val="en-US"/>
        </w:rPr>
        <w:t>responsables</w:t>
      </w:r>
      <w:proofErr w:type="spellEnd"/>
      <w:r w:rsidRPr="008A0F66">
        <w:rPr>
          <w:rFonts w:ascii="Calibri" w:hAnsi="Calibri" w:cs="Calibri"/>
          <w:lang w:val="en-US"/>
        </w:rPr>
        <w:t xml:space="preserve"> </w:t>
      </w:r>
      <w:proofErr w:type="spellStart"/>
      <w:r w:rsidRPr="008A0F66">
        <w:rPr>
          <w:rFonts w:ascii="Calibri" w:hAnsi="Calibri" w:cs="Calibri"/>
          <w:lang w:val="en-US"/>
        </w:rPr>
        <w:t>políticos</w:t>
      </w:r>
      <w:proofErr w:type="spellEnd"/>
      <w:r w:rsidRPr="008A0F66">
        <w:rPr>
          <w:rFonts w:ascii="Calibri" w:hAnsi="Calibri" w:cs="Calibri"/>
          <w:lang w:val="en-US"/>
        </w:rPr>
        <w:t xml:space="preserve"> y la </w:t>
      </w:r>
      <w:proofErr w:type="spellStart"/>
      <w:r w:rsidRPr="008A0F66">
        <w:rPr>
          <w:rFonts w:ascii="Calibri" w:hAnsi="Calibri" w:cs="Calibri"/>
          <w:lang w:val="en-US"/>
        </w:rPr>
        <w:t>sociedad</w:t>
      </w:r>
      <w:proofErr w:type="spellEnd"/>
      <w:r w:rsidRPr="008A0F66">
        <w:rPr>
          <w:rFonts w:ascii="Calibri" w:hAnsi="Calibri" w:cs="Calibri"/>
          <w:lang w:val="en-US"/>
        </w:rPr>
        <w:t xml:space="preserve"> civil, </w:t>
      </w:r>
      <w:proofErr w:type="spellStart"/>
      <w:r w:rsidRPr="008A0F66">
        <w:rPr>
          <w:rFonts w:ascii="Calibri" w:hAnsi="Calibri" w:cs="Calibri"/>
          <w:lang w:val="en-US"/>
        </w:rPr>
        <w:t>analizando</w:t>
      </w:r>
      <w:proofErr w:type="spellEnd"/>
      <w:r w:rsidRPr="008A0F66">
        <w:rPr>
          <w:rFonts w:ascii="Calibri" w:hAnsi="Calibri" w:cs="Calibri"/>
          <w:lang w:val="en-US"/>
        </w:rPr>
        <w:t xml:space="preserve"> las </w:t>
      </w:r>
      <w:proofErr w:type="spellStart"/>
      <w:r w:rsidRPr="008A0F66">
        <w:rPr>
          <w:rFonts w:ascii="Calibri" w:hAnsi="Calibri" w:cs="Calibri"/>
          <w:lang w:val="en-US"/>
        </w:rPr>
        <w:t>condiciones</w:t>
      </w:r>
      <w:proofErr w:type="spellEnd"/>
      <w:r w:rsidRPr="008A0F66">
        <w:rPr>
          <w:rFonts w:ascii="Calibri" w:hAnsi="Calibri" w:cs="Calibri"/>
          <w:lang w:val="en-US"/>
        </w:rPr>
        <w:t xml:space="preserve"> que </w:t>
      </w:r>
      <w:proofErr w:type="spellStart"/>
      <w:r w:rsidRPr="008A0F66">
        <w:rPr>
          <w:rFonts w:ascii="Calibri" w:hAnsi="Calibri" w:cs="Calibri"/>
          <w:lang w:val="en-US"/>
        </w:rPr>
        <w:t>posibilitan</w:t>
      </w:r>
      <w:proofErr w:type="spellEnd"/>
      <w:r w:rsidRPr="008A0F66">
        <w:rPr>
          <w:rFonts w:ascii="Calibri" w:hAnsi="Calibri" w:cs="Calibri"/>
          <w:lang w:val="en-US"/>
        </w:rPr>
        <w:t xml:space="preserve"> la </w:t>
      </w:r>
      <w:proofErr w:type="spellStart"/>
      <w:r w:rsidRPr="008A0F66">
        <w:rPr>
          <w:rFonts w:ascii="Calibri" w:hAnsi="Calibri" w:cs="Calibri"/>
          <w:lang w:val="en-US"/>
        </w:rPr>
        <w:t>gobernanza</w:t>
      </w:r>
      <w:proofErr w:type="spellEnd"/>
      <w:r w:rsidRPr="008A0F66">
        <w:rPr>
          <w:rFonts w:ascii="Calibri" w:hAnsi="Calibri" w:cs="Calibri"/>
          <w:lang w:val="en-US"/>
        </w:rPr>
        <w:t xml:space="preserve"> </w:t>
      </w:r>
      <w:proofErr w:type="spellStart"/>
      <w:r w:rsidRPr="008A0F66">
        <w:rPr>
          <w:rFonts w:ascii="Calibri" w:hAnsi="Calibri" w:cs="Calibri"/>
          <w:lang w:val="en-US"/>
        </w:rPr>
        <w:t>participativa</w:t>
      </w:r>
      <w:proofErr w:type="spellEnd"/>
      <w:r w:rsidRPr="008A0F66">
        <w:rPr>
          <w:rFonts w:ascii="Calibri" w:hAnsi="Calibri" w:cs="Calibri"/>
          <w:lang w:val="en-US"/>
        </w:rPr>
        <w:t xml:space="preserve"> y </w:t>
      </w:r>
      <w:proofErr w:type="spellStart"/>
      <w:r w:rsidRPr="008A0F66">
        <w:rPr>
          <w:rFonts w:ascii="Calibri" w:hAnsi="Calibri" w:cs="Calibri"/>
          <w:lang w:val="en-US"/>
        </w:rPr>
        <w:t>el</w:t>
      </w:r>
      <w:proofErr w:type="spellEnd"/>
      <w:r w:rsidRPr="008A0F66">
        <w:rPr>
          <w:rFonts w:ascii="Calibri" w:hAnsi="Calibri" w:cs="Calibri"/>
          <w:lang w:val="en-US"/>
        </w:rPr>
        <w:t xml:space="preserve"> </w:t>
      </w:r>
      <w:proofErr w:type="spellStart"/>
      <w:r w:rsidRPr="008A0F66">
        <w:rPr>
          <w:rFonts w:ascii="Calibri" w:hAnsi="Calibri" w:cs="Calibri"/>
          <w:lang w:val="en-US"/>
        </w:rPr>
        <w:t>papel</w:t>
      </w:r>
      <w:proofErr w:type="spellEnd"/>
      <w:r w:rsidRPr="008A0F66">
        <w:rPr>
          <w:rFonts w:ascii="Calibri" w:hAnsi="Calibri" w:cs="Calibri"/>
          <w:lang w:val="en-US"/>
        </w:rPr>
        <w:t xml:space="preserve"> de </w:t>
      </w:r>
      <w:proofErr w:type="spellStart"/>
      <w:r w:rsidRPr="008A0F66">
        <w:rPr>
          <w:rFonts w:ascii="Calibri" w:hAnsi="Calibri" w:cs="Calibri"/>
          <w:lang w:val="en-US"/>
        </w:rPr>
        <w:t>los</w:t>
      </w:r>
      <w:proofErr w:type="spellEnd"/>
      <w:r w:rsidRPr="008A0F66">
        <w:rPr>
          <w:rFonts w:ascii="Calibri" w:hAnsi="Calibri" w:cs="Calibri"/>
          <w:lang w:val="en-US"/>
        </w:rPr>
        <w:t xml:space="preserve"> </w:t>
      </w:r>
      <w:proofErr w:type="spellStart"/>
      <w:r w:rsidRPr="008A0F66">
        <w:rPr>
          <w:rFonts w:ascii="Calibri" w:hAnsi="Calibri" w:cs="Calibri"/>
          <w:lang w:val="en-US"/>
        </w:rPr>
        <w:t>actores</w:t>
      </w:r>
      <w:proofErr w:type="spellEnd"/>
      <w:r w:rsidRPr="008A0F66">
        <w:rPr>
          <w:rFonts w:ascii="Calibri" w:hAnsi="Calibri" w:cs="Calibri"/>
          <w:lang w:val="en-US"/>
        </w:rPr>
        <w:t xml:space="preserve"> clave, </w:t>
      </w:r>
      <w:proofErr w:type="spellStart"/>
      <w:r w:rsidRPr="008A0F66">
        <w:rPr>
          <w:rFonts w:ascii="Calibri" w:hAnsi="Calibri" w:cs="Calibri"/>
          <w:lang w:val="en-US"/>
        </w:rPr>
        <w:t>incluidas</w:t>
      </w:r>
      <w:proofErr w:type="spellEnd"/>
      <w:r w:rsidRPr="008A0F66">
        <w:rPr>
          <w:rFonts w:ascii="Calibri" w:hAnsi="Calibri" w:cs="Calibri"/>
          <w:lang w:val="en-US"/>
        </w:rPr>
        <w:t xml:space="preserve"> las </w:t>
      </w:r>
      <w:proofErr w:type="spellStart"/>
      <w:r w:rsidRPr="008A0F66">
        <w:rPr>
          <w:rFonts w:ascii="Calibri" w:hAnsi="Calibri" w:cs="Calibri"/>
          <w:lang w:val="en-US"/>
        </w:rPr>
        <w:t>organizaciones</w:t>
      </w:r>
      <w:proofErr w:type="spellEnd"/>
      <w:r w:rsidRPr="008A0F66">
        <w:rPr>
          <w:rFonts w:ascii="Calibri" w:hAnsi="Calibri" w:cs="Calibri"/>
          <w:lang w:val="en-US"/>
        </w:rPr>
        <w:t xml:space="preserve"> </w:t>
      </w:r>
      <w:proofErr w:type="spellStart"/>
      <w:r w:rsidRPr="008A0F66">
        <w:rPr>
          <w:rFonts w:ascii="Calibri" w:hAnsi="Calibri" w:cs="Calibri"/>
          <w:lang w:val="en-US"/>
        </w:rPr>
        <w:t>comunitarias</w:t>
      </w:r>
      <w:proofErr w:type="spellEnd"/>
      <w:r w:rsidRPr="008A0F66">
        <w:rPr>
          <w:rFonts w:ascii="Calibri" w:hAnsi="Calibri" w:cs="Calibri"/>
          <w:lang w:val="en-US"/>
        </w:rPr>
        <w:t>.</w:t>
      </w:r>
    </w:p>
    <w:p w14:paraId="0A9A41FC" w14:textId="77777777" w:rsidR="009D608F" w:rsidRPr="008A0F66" w:rsidRDefault="009D608F" w:rsidP="009D608F">
      <w:pPr>
        <w:spacing w:line="360" w:lineRule="auto"/>
        <w:jc w:val="both"/>
        <w:rPr>
          <w:rFonts w:ascii="Calibri" w:hAnsi="Calibri" w:cs="Calibri"/>
          <w:lang w:val="en-US"/>
        </w:rPr>
      </w:pPr>
      <w:r w:rsidRPr="008A0F66">
        <w:rPr>
          <w:rFonts w:ascii="Calibri" w:hAnsi="Calibri" w:cs="Calibri"/>
          <w:lang w:val="en-US"/>
        </w:rPr>
        <w:t xml:space="preserve">El </w:t>
      </w:r>
      <w:proofErr w:type="spellStart"/>
      <w:r w:rsidRPr="008A0F66">
        <w:rPr>
          <w:rFonts w:ascii="Calibri" w:hAnsi="Calibri" w:cs="Calibri"/>
          <w:lang w:val="en-US"/>
        </w:rPr>
        <w:t>artículo</w:t>
      </w:r>
      <w:proofErr w:type="spellEnd"/>
      <w:r w:rsidRPr="008A0F66">
        <w:rPr>
          <w:rFonts w:ascii="Calibri" w:hAnsi="Calibri" w:cs="Calibri"/>
          <w:lang w:val="en-US"/>
        </w:rPr>
        <w:t xml:space="preserve"> </w:t>
      </w:r>
      <w:proofErr w:type="spellStart"/>
      <w:r w:rsidRPr="008A0F66">
        <w:rPr>
          <w:rFonts w:ascii="Calibri" w:hAnsi="Calibri" w:cs="Calibri"/>
          <w:lang w:val="en-US"/>
        </w:rPr>
        <w:t>examina</w:t>
      </w:r>
      <w:proofErr w:type="spellEnd"/>
      <w:r w:rsidRPr="008A0F66">
        <w:rPr>
          <w:rFonts w:ascii="Calibri" w:hAnsi="Calibri" w:cs="Calibri"/>
          <w:lang w:val="en-US"/>
        </w:rPr>
        <w:t xml:space="preserve"> </w:t>
      </w:r>
      <w:proofErr w:type="spellStart"/>
      <w:r w:rsidRPr="008A0F66">
        <w:rPr>
          <w:rFonts w:ascii="Calibri" w:hAnsi="Calibri" w:cs="Calibri"/>
          <w:lang w:val="en-US"/>
        </w:rPr>
        <w:t>los</w:t>
      </w:r>
      <w:proofErr w:type="spellEnd"/>
      <w:r w:rsidRPr="008A0F66">
        <w:rPr>
          <w:rFonts w:ascii="Calibri" w:hAnsi="Calibri" w:cs="Calibri"/>
          <w:lang w:val="en-US"/>
        </w:rPr>
        <w:t xml:space="preserve"> Talleres de </w:t>
      </w:r>
      <w:proofErr w:type="spellStart"/>
      <w:r w:rsidRPr="008A0F66">
        <w:rPr>
          <w:rFonts w:ascii="Calibri" w:hAnsi="Calibri" w:cs="Calibri"/>
          <w:lang w:val="en-US"/>
        </w:rPr>
        <w:t>Diseño</w:t>
      </w:r>
      <w:proofErr w:type="spellEnd"/>
      <w:r w:rsidRPr="008A0F66">
        <w:rPr>
          <w:rFonts w:ascii="Calibri" w:hAnsi="Calibri" w:cs="Calibri"/>
          <w:lang w:val="en-US"/>
        </w:rPr>
        <w:t xml:space="preserve"> Ciudadano (TCD), </w:t>
      </w:r>
      <w:proofErr w:type="spellStart"/>
      <w:r w:rsidRPr="008A0F66">
        <w:rPr>
          <w:rFonts w:ascii="Calibri" w:hAnsi="Calibri" w:cs="Calibri"/>
          <w:lang w:val="en-US"/>
        </w:rPr>
        <w:t>implementados</w:t>
      </w:r>
      <w:proofErr w:type="spellEnd"/>
      <w:r w:rsidRPr="008A0F66">
        <w:rPr>
          <w:rFonts w:ascii="Calibri" w:hAnsi="Calibri" w:cs="Calibri"/>
          <w:lang w:val="en-US"/>
        </w:rPr>
        <w:t xml:space="preserve"> </w:t>
      </w:r>
      <w:proofErr w:type="spellStart"/>
      <w:r w:rsidRPr="008A0F66">
        <w:rPr>
          <w:rFonts w:ascii="Calibri" w:hAnsi="Calibri" w:cs="Calibri"/>
          <w:lang w:val="en-US"/>
        </w:rPr>
        <w:t>inicialmente</w:t>
      </w:r>
      <w:proofErr w:type="spellEnd"/>
      <w:r w:rsidRPr="008A0F66">
        <w:rPr>
          <w:rFonts w:ascii="Calibri" w:hAnsi="Calibri" w:cs="Calibri"/>
          <w:lang w:val="en-US"/>
        </w:rPr>
        <w:t xml:space="preserve"> </w:t>
      </w:r>
      <w:proofErr w:type="spellStart"/>
      <w:r w:rsidRPr="008A0F66">
        <w:rPr>
          <w:rFonts w:ascii="Calibri" w:hAnsi="Calibri" w:cs="Calibri"/>
          <w:lang w:val="en-US"/>
        </w:rPr>
        <w:t>en</w:t>
      </w:r>
      <w:proofErr w:type="spellEnd"/>
      <w:r w:rsidRPr="008A0F66">
        <w:rPr>
          <w:rFonts w:ascii="Calibri" w:hAnsi="Calibri" w:cs="Calibri"/>
          <w:lang w:val="en-US"/>
        </w:rPr>
        <w:t xml:space="preserve"> la </w:t>
      </w:r>
      <w:proofErr w:type="spellStart"/>
      <w:r w:rsidRPr="008A0F66">
        <w:rPr>
          <w:rFonts w:ascii="Calibri" w:hAnsi="Calibri" w:cs="Calibri"/>
          <w:lang w:val="en-US"/>
        </w:rPr>
        <w:t>región</w:t>
      </w:r>
      <w:proofErr w:type="spellEnd"/>
      <w:r w:rsidRPr="008A0F66">
        <w:rPr>
          <w:rFonts w:ascii="Calibri" w:hAnsi="Calibri" w:cs="Calibri"/>
          <w:lang w:val="en-US"/>
        </w:rPr>
        <w:t xml:space="preserve"> </w:t>
      </w:r>
      <w:proofErr w:type="spellStart"/>
      <w:r w:rsidRPr="008A0F66">
        <w:rPr>
          <w:rFonts w:ascii="Calibri" w:hAnsi="Calibri" w:cs="Calibri"/>
          <w:lang w:val="en-US"/>
        </w:rPr>
        <w:t>este</w:t>
      </w:r>
      <w:proofErr w:type="spellEnd"/>
      <w:r w:rsidRPr="008A0F66">
        <w:rPr>
          <w:rFonts w:ascii="Calibri" w:hAnsi="Calibri" w:cs="Calibri"/>
          <w:lang w:val="en-US"/>
        </w:rPr>
        <w:t xml:space="preserve"> de Francia y </w:t>
      </w:r>
      <w:proofErr w:type="spellStart"/>
      <w:r w:rsidRPr="008A0F66">
        <w:rPr>
          <w:rFonts w:ascii="Calibri" w:hAnsi="Calibri" w:cs="Calibri"/>
          <w:lang w:val="en-US"/>
        </w:rPr>
        <w:t>posteriormente</w:t>
      </w:r>
      <w:proofErr w:type="spellEnd"/>
      <w:r w:rsidRPr="008A0F66">
        <w:rPr>
          <w:rFonts w:ascii="Calibri" w:hAnsi="Calibri" w:cs="Calibri"/>
          <w:lang w:val="en-US"/>
        </w:rPr>
        <w:t xml:space="preserve"> </w:t>
      </w:r>
      <w:proofErr w:type="spellStart"/>
      <w:r w:rsidRPr="008A0F66">
        <w:rPr>
          <w:rFonts w:ascii="Calibri" w:hAnsi="Calibri" w:cs="Calibri"/>
          <w:lang w:val="en-US"/>
        </w:rPr>
        <w:t>expandidos</w:t>
      </w:r>
      <w:proofErr w:type="spellEnd"/>
      <w:r w:rsidRPr="008A0F66">
        <w:rPr>
          <w:rFonts w:ascii="Calibri" w:hAnsi="Calibri" w:cs="Calibri"/>
          <w:lang w:val="en-US"/>
        </w:rPr>
        <w:t xml:space="preserve"> </w:t>
      </w:r>
      <w:proofErr w:type="gramStart"/>
      <w:r w:rsidRPr="008A0F66">
        <w:rPr>
          <w:rFonts w:ascii="Calibri" w:hAnsi="Calibri" w:cs="Calibri"/>
          <w:lang w:val="en-US"/>
        </w:rPr>
        <w:t>a</w:t>
      </w:r>
      <w:proofErr w:type="gramEnd"/>
      <w:r w:rsidRPr="008A0F66">
        <w:rPr>
          <w:rFonts w:ascii="Calibri" w:hAnsi="Calibri" w:cs="Calibri"/>
          <w:lang w:val="en-US"/>
        </w:rPr>
        <w:t xml:space="preserve"> </w:t>
      </w:r>
      <w:proofErr w:type="spellStart"/>
      <w:r w:rsidRPr="008A0F66">
        <w:rPr>
          <w:rFonts w:ascii="Calibri" w:hAnsi="Calibri" w:cs="Calibri"/>
          <w:lang w:val="en-US"/>
        </w:rPr>
        <w:t>otras</w:t>
      </w:r>
      <w:proofErr w:type="spellEnd"/>
      <w:r w:rsidRPr="008A0F66">
        <w:rPr>
          <w:rFonts w:ascii="Calibri" w:hAnsi="Calibri" w:cs="Calibri"/>
          <w:lang w:val="en-US"/>
        </w:rPr>
        <w:t xml:space="preserve"> </w:t>
      </w:r>
      <w:proofErr w:type="spellStart"/>
      <w:r w:rsidRPr="008A0F66">
        <w:rPr>
          <w:rFonts w:ascii="Calibri" w:hAnsi="Calibri" w:cs="Calibri"/>
          <w:lang w:val="en-US"/>
        </w:rPr>
        <w:t>ciudades</w:t>
      </w:r>
      <w:proofErr w:type="spellEnd"/>
      <w:r w:rsidRPr="008A0F66">
        <w:rPr>
          <w:rFonts w:ascii="Calibri" w:hAnsi="Calibri" w:cs="Calibri"/>
          <w:lang w:val="en-US"/>
        </w:rPr>
        <w:t xml:space="preserve">, </w:t>
      </w:r>
      <w:proofErr w:type="spellStart"/>
      <w:r w:rsidRPr="008A0F66">
        <w:rPr>
          <w:rFonts w:ascii="Calibri" w:hAnsi="Calibri" w:cs="Calibri"/>
          <w:lang w:val="en-US"/>
        </w:rPr>
        <w:t>algunas</w:t>
      </w:r>
      <w:proofErr w:type="spellEnd"/>
      <w:r w:rsidRPr="008A0F66">
        <w:rPr>
          <w:rFonts w:ascii="Calibri" w:hAnsi="Calibri" w:cs="Calibri"/>
          <w:lang w:val="en-US"/>
        </w:rPr>
        <w:t xml:space="preserve"> de las </w:t>
      </w:r>
      <w:proofErr w:type="spellStart"/>
      <w:r w:rsidRPr="008A0F66">
        <w:rPr>
          <w:rFonts w:ascii="Calibri" w:hAnsi="Calibri" w:cs="Calibri"/>
          <w:lang w:val="en-US"/>
        </w:rPr>
        <w:t>cuales</w:t>
      </w:r>
      <w:proofErr w:type="spellEnd"/>
      <w:r w:rsidRPr="008A0F66">
        <w:rPr>
          <w:rFonts w:ascii="Calibri" w:hAnsi="Calibri" w:cs="Calibri"/>
          <w:lang w:val="en-US"/>
        </w:rPr>
        <w:t xml:space="preserve"> </w:t>
      </w:r>
      <w:proofErr w:type="spellStart"/>
      <w:r w:rsidRPr="008A0F66">
        <w:rPr>
          <w:rFonts w:ascii="Calibri" w:hAnsi="Calibri" w:cs="Calibri"/>
          <w:lang w:val="en-US"/>
        </w:rPr>
        <w:t>participan</w:t>
      </w:r>
      <w:proofErr w:type="spellEnd"/>
      <w:r w:rsidRPr="008A0F66">
        <w:rPr>
          <w:rFonts w:ascii="Calibri" w:hAnsi="Calibri" w:cs="Calibri"/>
          <w:lang w:val="en-US"/>
        </w:rPr>
        <w:t xml:space="preserve"> </w:t>
      </w:r>
      <w:proofErr w:type="spellStart"/>
      <w:r w:rsidRPr="008A0F66">
        <w:rPr>
          <w:rFonts w:ascii="Calibri" w:hAnsi="Calibri" w:cs="Calibri"/>
          <w:lang w:val="en-US"/>
        </w:rPr>
        <w:t>en</w:t>
      </w:r>
      <w:proofErr w:type="spellEnd"/>
      <w:r w:rsidRPr="008A0F66">
        <w:rPr>
          <w:rFonts w:ascii="Calibri" w:hAnsi="Calibri" w:cs="Calibri"/>
          <w:lang w:val="en-US"/>
        </w:rPr>
        <w:t xml:space="preserve"> la </w:t>
      </w:r>
      <w:proofErr w:type="spellStart"/>
      <w:r w:rsidRPr="008A0F66">
        <w:rPr>
          <w:rFonts w:ascii="Calibri" w:hAnsi="Calibri" w:cs="Calibri"/>
          <w:lang w:val="en-US"/>
        </w:rPr>
        <w:t>iniciativa</w:t>
      </w:r>
      <w:proofErr w:type="spellEnd"/>
      <w:r w:rsidRPr="008A0F66">
        <w:rPr>
          <w:rFonts w:ascii="Calibri" w:hAnsi="Calibri" w:cs="Calibri"/>
          <w:lang w:val="en-US"/>
        </w:rPr>
        <w:t xml:space="preserve"> </w:t>
      </w:r>
      <w:proofErr w:type="spellStart"/>
      <w:r w:rsidRPr="008A0F66">
        <w:rPr>
          <w:rFonts w:ascii="Calibri" w:hAnsi="Calibri" w:cs="Calibri"/>
          <w:lang w:val="en-US"/>
        </w:rPr>
        <w:t>Ciudades</w:t>
      </w:r>
      <w:proofErr w:type="spellEnd"/>
      <w:r w:rsidRPr="008A0F66">
        <w:rPr>
          <w:rFonts w:ascii="Calibri" w:hAnsi="Calibri" w:cs="Calibri"/>
          <w:lang w:val="en-US"/>
        </w:rPr>
        <w:t xml:space="preserve"> </w:t>
      </w:r>
      <w:proofErr w:type="spellStart"/>
      <w:r w:rsidRPr="008A0F66">
        <w:rPr>
          <w:rFonts w:ascii="Calibri" w:hAnsi="Calibri" w:cs="Calibri"/>
          <w:lang w:val="en-US"/>
        </w:rPr>
        <w:t>Amigables</w:t>
      </w:r>
      <w:proofErr w:type="spellEnd"/>
      <w:r w:rsidRPr="008A0F66">
        <w:rPr>
          <w:rFonts w:ascii="Calibri" w:hAnsi="Calibri" w:cs="Calibri"/>
          <w:lang w:val="en-US"/>
        </w:rPr>
        <w:t xml:space="preserve"> con las Personas </w:t>
      </w:r>
      <w:proofErr w:type="spellStart"/>
      <w:r w:rsidRPr="008A0F66">
        <w:rPr>
          <w:rFonts w:ascii="Calibri" w:hAnsi="Calibri" w:cs="Calibri"/>
          <w:lang w:val="en-US"/>
        </w:rPr>
        <w:t>Mayores</w:t>
      </w:r>
      <w:proofErr w:type="spellEnd"/>
      <w:r w:rsidRPr="008A0F66">
        <w:rPr>
          <w:rFonts w:ascii="Calibri" w:hAnsi="Calibri" w:cs="Calibri"/>
          <w:lang w:val="en-US"/>
        </w:rPr>
        <w:t xml:space="preserve"> de la OMS. La </w:t>
      </w:r>
      <w:proofErr w:type="spellStart"/>
      <w:r w:rsidRPr="008A0F66">
        <w:rPr>
          <w:rFonts w:ascii="Calibri" w:hAnsi="Calibri" w:cs="Calibri"/>
          <w:lang w:val="en-US"/>
        </w:rPr>
        <w:t>metodología</w:t>
      </w:r>
      <w:proofErr w:type="spellEnd"/>
      <w:r w:rsidRPr="008A0F66">
        <w:rPr>
          <w:rFonts w:ascii="Calibri" w:hAnsi="Calibri" w:cs="Calibri"/>
          <w:lang w:val="en-US"/>
        </w:rPr>
        <w:t xml:space="preserve"> de </w:t>
      </w:r>
      <w:proofErr w:type="spellStart"/>
      <w:r w:rsidRPr="008A0F66">
        <w:rPr>
          <w:rFonts w:ascii="Calibri" w:hAnsi="Calibri" w:cs="Calibri"/>
          <w:lang w:val="en-US"/>
        </w:rPr>
        <w:t>los</w:t>
      </w:r>
      <w:proofErr w:type="spellEnd"/>
      <w:r w:rsidRPr="008A0F66">
        <w:rPr>
          <w:rFonts w:ascii="Calibri" w:hAnsi="Calibri" w:cs="Calibri"/>
          <w:lang w:val="en-US"/>
        </w:rPr>
        <w:t xml:space="preserve"> TCD </w:t>
      </w:r>
      <w:proofErr w:type="spellStart"/>
      <w:r w:rsidRPr="008A0F66">
        <w:rPr>
          <w:rFonts w:ascii="Calibri" w:hAnsi="Calibri" w:cs="Calibri"/>
          <w:lang w:val="en-US"/>
        </w:rPr>
        <w:t>reubica</w:t>
      </w:r>
      <w:proofErr w:type="spellEnd"/>
      <w:r w:rsidRPr="008A0F66">
        <w:rPr>
          <w:rFonts w:ascii="Calibri" w:hAnsi="Calibri" w:cs="Calibri"/>
          <w:lang w:val="en-US"/>
        </w:rPr>
        <w:t xml:space="preserve"> a las personas </w:t>
      </w:r>
      <w:proofErr w:type="spellStart"/>
      <w:r w:rsidRPr="008A0F66">
        <w:rPr>
          <w:rFonts w:ascii="Calibri" w:hAnsi="Calibri" w:cs="Calibri"/>
          <w:lang w:val="en-US"/>
        </w:rPr>
        <w:t>mayores</w:t>
      </w:r>
      <w:proofErr w:type="spellEnd"/>
      <w:r w:rsidRPr="008A0F66">
        <w:rPr>
          <w:rFonts w:ascii="Calibri" w:hAnsi="Calibri" w:cs="Calibri"/>
          <w:lang w:val="en-US"/>
        </w:rPr>
        <w:t xml:space="preserve"> </w:t>
      </w:r>
      <w:proofErr w:type="spellStart"/>
      <w:r w:rsidRPr="008A0F66">
        <w:rPr>
          <w:rFonts w:ascii="Calibri" w:hAnsi="Calibri" w:cs="Calibri"/>
          <w:lang w:val="en-US"/>
        </w:rPr>
        <w:t>en</w:t>
      </w:r>
      <w:proofErr w:type="spellEnd"/>
      <w:r w:rsidRPr="008A0F66">
        <w:rPr>
          <w:rFonts w:ascii="Calibri" w:hAnsi="Calibri" w:cs="Calibri"/>
          <w:lang w:val="en-US"/>
        </w:rPr>
        <w:t xml:space="preserve"> </w:t>
      </w:r>
      <w:proofErr w:type="spellStart"/>
      <w:r w:rsidRPr="008A0F66">
        <w:rPr>
          <w:rFonts w:ascii="Calibri" w:hAnsi="Calibri" w:cs="Calibri"/>
          <w:lang w:val="en-US"/>
        </w:rPr>
        <w:t>los</w:t>
      </w:r>
      <w:proofErr w:type="spellEnd"/>
      <w:r w:rsidRPr="008A0F66">
        <w:rPr>
          <w:rFonts w:ascii="Calibri" w:hAnsi="Calibri" w:cs="Calibri"/>
          <w:lang w:val="en-US"/>
        </w:rPr>
        <w:t xml:space="preserve"> </w:t>
      </w:r>
      <w:proofErr w:type="spellStart"/>
      <w:r w:rsidRPr="008A0F66">
        <w:rPr>
          <w:rFonts w:ascii="Calibri" w:hAnsi="Calibri" w:cs="Calibri"/>
          <w:lang w:val="en-US"/>
        </w:rPr>
        <w:t>procesos</w:t>
      </w:r>
      <w:proofErr w:type="spellEnd"/>
      <w:r w:rsidRPr="008A0F66">
        <w:rPr>
          <w:rFonts w:ascii="Calibri" w:hAnsi="Calibri" w:cs="Calibri"/>
          <w:lang w:val="en-US"/>
        </w:rPr>
        <w:t xml:space="preserve"> locales de </w:t>
      </w:r>
      <w:proofErr w:type="spellStart"/>
      <w:r w:rsidRPr="008A0F66">
        <w:rPr>
          <w:rFonts w:ascii="Calibri" w:hAnsi="Calibri" w:cs="Calibri"/>
          <w:lang w:val="en-US"/>
        </w:rPr>
        <w:t>toma</w:t>
      </w:r>
      <w:proofErr w:type="spellEnd"/>
      <w:r w:rsidRPr="008A0F66">
        <w:rPr>
          <w:rFonts w:ascii="Calibri" w:hAnsi="Calibri" w:cs="Calibri"/>
          <w:lang w:val="en-US"/>
        </w:rPr>
        <w:t xml:space="preserve"> de </w:t>
      </w:r>
      <w:proofErr w:type="spellStart"/>
      <w:r w:rsidRPr="008A0F66">
        <w:rPr>
          <w:rFonts w:ascii="Calibri" w:hAnsi="Calibri" w:cs="Calibri"/>
          <w:lang w:val="en-US"/>
        </w:rPr>
        <w:t>decisiones</w:t>
      </w:r>
      <w:proofErr w:type="spellEnd"/>
      <w:r w:rsidRPr="008A0F66">
        <w:rPr>
          <w:rFonts w:ascii="Calibri" w:hAnsi="Calibri" w:cs="Calibri"/>
          <w:lang w:val="en-US"/>
        </w:rPr>
        <w:t xml:space="preserve">, </w:t>
      </w:r>
      <w:proofErr w:type="spellStart"/>
      <w:r w:rsidRPr="008A0F66">
        <w:rPr>
          <w:rFonts w:ascii="Calibri" w:hAnsi="Calibri" w:cs="Calibri"/>
          <w:lang w:val="en-US"/>
        </w:rPr>
        <w:t>reconociendo</w:t>
      </w:r>
      <w:proofErr w:type="spellEnd"/>
      <w:r w:rsidRPr="008A0F66">
        <w:rPr>
          <w:rFonts w:ascii="Calibri" w:hAnsi="Calibri" w:cs="Calibri"/>
          <w:lang w:val="en-US"/>
        </w:rPr>
        <w:t xml:space="preserve"> sus </w:t>
      </w:r>
      <w:proofErr w:type="spellStart"/>
      <w:r w:rsidRPr="008A0F66">
        <w:rPr>
          <w:rFonts w:ascii="Calibri" w:hAnsi="Calibri" w:cs="Calibri"/>
          <w:lang w:val="en-US"/>
        </w:rPr>
        <w:t>diversas</w:t>
      </w:r>
      <w:proofErr w:type="spellEnd"/>
      <w:r w:rsidRPr="008A0F66">
        <w:rPr>
          <w:rFonts w:ascii="Calibri" w:hAnsi="Calibri" w:cs="Calibri"/>
          <w:lang w:val="en-US"/>
        </w:rPr>
        <w:t xml:space="preserve"> </w:t>
      </w:r>
      <w:proofErr w:type="spellStart"/>
      <w:r w:rsidRPr="008A0F66">
        <w:rPr>
          <w:rFonts w:ascii="Calibri" w:hAnsi="Calibri" w:cs="Calibri"/>
          <w:lang w:val="en-US"/>
        </w:rPr>
        <w:t>experiencias</w:t>
      </w:r>
      <w:proofErr w:type="spellEnd"/>
      <w:r w:rsidRPr="008A0F66">
        <w:rPr>
          <w:rFonts w:ascii="Calibri" w:hAnsi="Calibri" w:cs="Calibri"/>
          <w:lang w:val="en-US"/>
        </w:rPr>
        <w:t xml:space="preserve"> y </w:t>
      </w:r>
      <w:proofErr w:type="spellStart"/>
      <w:r w:rsidRPr="008A0F66">
        <w:rPr>
          <w:rFonts w:ascii="Calibri" w:hAnsi="Calibri" w:cs="Calibri"/>
          <w:lang w:val="en-US"/>
        </w:rPr>
        <w:t>necesidades</w:t>
      </w:r>
      <w:proofErr w:type="spellEnd"/>
      <w:r w:rsidRPr="008A0F66">
        <w:rPr>
          <w:rFonts w:ascii="Calibri" w:hAnsi="Calibri" w:cs="Calibri"/>
          <w:lang w:val="en-US"/>
        </w:rPr>
        <w:t>.</w:t>
      </w:r>
    </w:p>
    <w:p w14:paraId="5AE20EC7" w14:textId="77777777" w:rsidR="009D608F" w:rsidRDefault="009D608F" w:rsidP="009D608F">
      <w:pPr>
        <w:spacing w:line="360" w:lineRule="auto"/>
        <w:jc w:val="both"/>
        <w:rPr>
          <w:rFonts w:ascii="Calibri" w:hAnsi="Calibri" w:cs="Calibri"/>
          <w:lang w:val="en-US"/>
        </w:rPr>
      </w:pPr>
      <w:r w:rsidRPr="008A0F66">
        <w:rPr>
          <w:rFonts w:ascii="Calibri" w:hAnsi="Calibri" w:cs="Calibri"/>
          <w:lang w:val="en-US"/>
        </w:rPr>
        <w:t xml:space="preserve">Más </w:t>
      </w:r>
      <w:proofErr w:type="spellStart"/>
      <w:r w:rsidRPr="008A0F66">
        <w:rPr>
          <w:rFonts w:ascii="Calibri" w:hAnsi="Calibri" w:cs="Calibri"/>
          <w:lang w:val="en-US"/>
        </w:rPr>
        <w:t>allá</w:t>
      </w:r>
      <w:proofErr w:type="spellEnd"/>
      <w:r w:rsidRPr="008A0F66">
        <w:rPr>
          <w:rFonts w:ascii="Calibri" w:hAnsi="Calibri" w:cs="Calibri"/>
          <w:lang w:val="en-US"/>
        </w:rPr>
        <w:t xml:space="preserve"> de las </w:t>
      </w:r>
      <w:proofErr w:type="spellStart"/>
      <w:r w:rsidRPr="008A0F66">
        <w:rPr>
          <w:rFonts w:ascii="Calibri" w:hAnsi="Calibri" w:cs="Calibri"/>
          <w:lang w:val="en-US"/>
        </w:rPr>
        <w:t>cuestiones</w:t>
      </w:r>
      <w:proofErr w:type="spellEnd"/>
      <w:r w:rsidRPr="008A0F66">
        <w:rPr>
          <w:rFonts w:ascii="Calibri" w:hAnsi="Calibri" w:cs="Calibri"/>
          <w:lang w:val="en-US"/>
        </w:rPr>
        <w:t xml:space="preserve"> </w:t>
      </w:r>
      <w:proofErr w:type="spellStart"/>
      <w:r w:rsidRPr="008A0F66">
        <w:rPr>
          <w:rFonts w:ascii="Calibri" w:hAnsi="Calibri" w:cs="Calibri"/>
          <w:lang w:val="en-US"/>
        </w:rPr>
        <w:t>relacionadas</w:t>
      </w:r>
      <w:proofErr w:type="spellEnd"/>
      <w:r w:rsidRPr="008A0F66">
        <w:rPr>
          <w:rFonts w:ascii="Calibri" w:hAnsi="Calibri" w:cs="Calibri"/>
          <w:lang w:val="en-US"/>
        </w:rPr>
        <w:t xml:space="preserve"> con </w:t>
      </w:r>
      <w:proofErr w:type="spellStart"/>
      <w:r w:rsidRPr="008A0F66">
        <w:rPr>
          <w:rFonts w:ascii="Calibri" w:hAnsi="Calibri" w:cs="Calibri"/>
          <w:lang w:val="en-US"/>
        </w:rPr>
        <w:t>el</w:t>
      </w:r>
      <w:proofErr w:type="spellEnd"/>
      <w:r w:rsidRPr="008A0F66">
        <w:rPr>
          <w:rFonts w:ascii="Calibri" w:hAnsi="Calibri" w:cs="Calibri"/>
          <w:lang w:val="en-US"/>
        </w:rPr>
        <w:t xml:space="preserve"> </w:t>
      </w:r>
      <w:proofErr w:type="spellStart"/>
      <w:r w:rsidRPr="008A0F66">
        <w:rPr>
          <w:rFonts w:ascii="Calibri" w:hAnsi="Calibri" w:cs="Calibri"/>
          <w:lang w:val="en-US"/>
        </w:rPr>
        <w:t>envejecimiento</w:t>
      </w:r>
      <w:proofErr w:type="spellEnd"/>
      <w:r w:rsidRPr="008A0F66">
        <w:rPr>
          <w:rFonts w:ascii="Calibri" w:hAnsi="Calibri" w:cs="Calibri"/>
          <w:lang w:val="en-US"/>
        </w:rPr>
        <w:t xml:space="preserve">, </w:t>
      </w:r>
      <w:proofErr w:type="spellStart"/>
      <w:r w:rsidRPr="008A0F66">
        <w:rPr>
          <w:rFonts w:ascii="Calibri" w:hAnsi="Calibri" w:cs="Calibri"/>
          <w:lang w:val="en-US"/>
        </w:rPr>
        <w:t>esta</w:t>
      </w:r>
      <w:proofErr w:type="spellEnd"/>
      <w:r w:rsidRPr="008A0F66">
        <w:rPr>
          <w:rFonts w:ascii="Calibri" w:hAnsi="Calibri" w:cs="Calibri"/>
          <w:lang w:val="en-US"/>
        </w:rPr>
        <w:t xml:space="preserve"> </w:t>
      </w:r>
      <w:proofErr w:type="spellStart"/>
      <w:r w:rsidRPr="008A0F66">
        <w:rPr>
          <w:rFonts w:ascii="Calibri" w:hAnsi="Calibri" w:cs="Calibri"/>
          <w:lang w:val="en-US"/>
        </w:rPr>
        <w:t>investigación</w:t>
      </w:r>
      <w:proofErr w:type="spellEnd"/>
      <w:r w:rsidRPr="008A0F66">
        <w:rPr>
          <w:rFonts w:ascii="Calibri" w:hAnsi="Calibri" w:cs="Calibri"/>
          <w:lang w:val="en-US"/>
        </w:rPr>
        <w:t xml:space="preserve"> </w:t>
      </w:r>
      <w:proofErr w:type="spellStart"/>
      <w:r w:rsidRPr="008A0F66">
        <w:rPr>
          <w:rFonts w:ascii="Calibri" w:hAnsi="Calibri" w:cs="Calibri"/>
          <w:lang w:val="en-US"/>
        </w:rPr>
        <w:t>considera</w:t>
      </w:r>
      <w:proofErr w:type="spellEnd"/>
      <w:r w:rsidRPr="008A0F66">
        <w:rPr>
          <w:rFonts w:ascii="Calibri" w:hAnsi="Calibri" w:cs="Calibri"/>
          <w:lang w:val="en-US"/>
        </w:rPr>
        <w:t xml:space="preserve"> </w:t>
      </w:r>
      <w:proofErr w:type="spellStart"/>
      <w:r w:rsidRPr="008A0F66">
        <w:rPr>
          <w:rFonts w:ascii="Calibri" w:hAnsi="Calibri" w:cs="Calibri"/>
          <w:lang w:val="en-US"/>
        </w:rPr>
        <w:t>cómo</w:t>
      </w:r>
      <w:proofErr w:type="spellEnd"/>
      <w:r w:rsidRPr="008A0F66">
        <w:rPr>
          <w:rFonts w:ascii="Calibri" w:hAnsi="Calibri" w:cs="Calibri"/>
          <w:lang w:val="en-US"/>
        </w:rPr>
        <w:t xml:space="preserve"> las </w:t>
      </w:r>
      <w:proofErr w:type="spellStart"/>
      <w:r w:rsidRPr="008A0F66">
        <w:rPr>
          <w:rFonts w:ascii="Calibri" w:hAnsi="Calibri" w:cs="Calibri"/>
          <w:lang w:val="en-US"/>
        </w:rPr>
        <w:t>metodologías</w:t>
      </w:r>
      <w:proofErr w:type="spellEnd"/>
      <w:r w:rsidRPr="008A0F66">
        <w:rPr>
          <w:rFonts w:ascii="Calibri" w:hAnsi="Calibri" w:cs="Calibri"/>
          <w:lang w:val="en-US"/>
        </w:rPr>
        <w:t xml:space="preserve"> de </w:t>
      </w:r>
      <w:proofErr w:type="spellStart"/>
      <w:r w:rsidRPr="008A0F66">
        <w:rPr>
          <w:rFonts w:ascii="Calibri" w:hAnsi="Calibri" w:cs="Calibri"/>
          <w:lang w:val="en-US"/>
        </w:rPr>
        <w:t>los</w:t>
      </w:r>
      <w:proofErr w:type="spellEnd"/>
      <w:r w:rsidRPr="008A0F66">
        <w:rPr>
          <w:rFonts w:ascii="Calibri" w:hAnsi="Calibri" w:cs="Calibri"/>
          <w:lang w:val="en-US"/>
        </w:rPr>
        <w:t xml:space="preserve"> TCD </w:t>
      </w:r>
      <w:proofErr w:type="spellStart"/>
      <w:r w:rsidRPr="008A0F66">
        <w:rPr>
          <w:rFonts w:ascii="Calibri" w:hAnsi="Calibri" w:cs="Calibri"/>
          <w:lang w:val="en-US"/>
        </w:rPr>
        <w:t>pueden</w:t>
      </w:r>
      <w:proofErr w:type="spellEnd"/>
      <w:r w:rsidRPr="008A0F66">
        <w:rPr>
          <w:rFonts w:ascii="Calibri" w:hAnsi="Calibri" w:cs="Calibri"/>
          <w:lang w:val="en-US"/>
        </w:rPr>
        <w:t xml:space="preserve"> </w:t>
      </w:r>
      <w:proofErr w:type="spellStart"/>
      <w:r w:rsidRPr="008A0F66">
        <w:rPr>
          <w:rFonts w:ascii="Calibri" w:hAnsi="Calibri" w:cs="Calibri"/>
          <w:lang w:val="en-US"/>
        </w:rPr>
        <w:t>abordar</w:t>
      </w:r>
      <w:proofErr w:type="spellEnd"/>
      <w:r w:rsidRPr="008A0F66">
        <w:rPr>
          <w:rFonts w:ascii="Calibri" w:hAnsi="Calibri" w:cs="Calibri"/>
          <w:lang w:val="en-US"/>
        </w:rPr>
        <w:t xml:space="preserve"> </w:t>
      </w:r>
      <w:proofErr w:type="spellStart"/>
      <w:r w:rsidRPr="008A0F66">
        <w:rPr>
          <w:rFonts w:ascii="Calibri" w:hAnsi="Calibri" w:cs="Calibri"/>
          <w:lang w:val="en-US"/>
        </w:rPr>
        <w:t>cuestiones</w:t>
      </w:r>
      <w:proofErr w:type="spellEnd"/>
      <w:r w:rsidRPr="008A0F66">
        <w:rPr>
          <w:rFonts w:ascii="Calibri" w:hAnsi="Calibri" w:cs="Calibri"/>
          <w:lang w:val="en-US"/>
        </w:rPr>
        <w:t xml:space="preserve"> </w:t>
      </w:r>
      <w:proofErr w:type="spellStart"/>
      <w:r w:rsidRPr="008A0F66">
        <w:rPr>
          <w:rFonts w:ascii="Calibri" w:hAnsi="Calibri" w:cs="Calibri"/>
          <w:lang w:val="en-US"/>
        </w:rPr>
        <w:t>más</w:t>
      </w:r>
      <w:proofErr w:type="spellEnd"/>
      <w:r w:rsidRPr="008A0F66">
        <w:rPr>
          <w:rFonts w:ascii="Calibri" w:hAnsi="Calibri" w:cs="Calibri"/>
          <w:lang w:val="en-US"/>
        </w:rPr>
        <w:t xml:space="preserve"> </w:t>
      </w:r>
      <w:proofErr w:type="spellStart"/>
      <w:r w:rsidRPr="008A0F66">
        <w:rPr>
          <w:rFonts w:ascii="Calibri" w:hAnsi="Calibri" w:cs="Calibri"/>
          <w:lang w:val="en-US"/>
        </w:rPr>
        <w:t>amplias</w:t>
      </w:r>
      <w:proofErr w:type="spellEnd"/>
      <w:r w:rsidRPr="008A0F66">
        <w:rPr>
          <w:rFonts w:ascii="Calibri" w:hAnsi="Calibri" w:cs="Calibri"/>
          <w:lang w:val="en-US"/>
        </w:rPr>
        <w:t xml:space="preserve"> </w:t>
      </w:r>
      <w:proofErr w:type="spellStart"/>
      <w:r w:rsidRPr="008A0F66">
        <w:rPr>
          <w:rFonts w:ascii="Calibri" w:hAnsi="Calibri" w:cs="Calibri"/>
          <w:lang w:val="en-US"/>
        </w:rPr>
        <w:t>sobre</w:t>
      </w:r>
      <w:proofErr w:type="spellEnd"/>
      <w:r w:rsidRPr="008A0F66">
        <w:rPr>
          <w:rFonts w:ascii="Calibri" w:hAnsi="Calibri" w:cs="Calibri"/>
          <w:lang w:val="en-US"/>
        </w:rPr>
        <w:t xml:space="preserve"> </w:t>
      </w:r>
      <w:proofErr w:type="spellStart"/>
      <w:r w:rsidRPr="008A0F66">
        <w:rPr>
          <w:rFonts w:ascii="Calibri" w:hAnsi="Calibri" w:cs="Calibri"/>
          <w:lang w:val="en-US"/>
        </w:rPr>
        <w:t>el</w:t>
      </w:r>
      <w:proofErr w:type="spellEnd"/>
      <w:r w:rsidRPr="008A0F66">
        <w:rPr>
          <w:rFonts w:ascii="Calibri" w:hAnsi="Calibri" w:cs="Calibri"/>
          <w:lang w:val="en-US"/>
        </w:rPr>
        <w:t xml:space="preserve"> </w:t>
      </w:r>
      <w:proofErr w:type="spellStart"/>
      <w:r w:rsidRPr="008A0F66">
        <w:rPr>
          <w:rFonts w:ascii="Calibri" w:hAnsi="Calibri" w:cs="Calibri"/>
          <w:lang w:val="en-US"/>
        </w:rPr>
        <w:t>papel</w:t>
      </w:r>
      <w:proofErr w:type="spellEnd"/>
      <w:r w:rsidRPr="008A0F66">
        <w:rPr>
          <w:rFonts w:ascii="Calibri" w:hAnsi="Calibri" w:cs="Calibri"/>
          <w:lang w:val="en-US"/>
        </w:rPr>
        <w:t xml:space="preserve"> de </w:t>
      </w:r>
      <w:proofErr w:type="spellStart"/>
      <w:r w:rsidRPr="008A0F66">
        <w:rPr>
          <w:rFonts w:ascii="Calibri" w:hAnsi="Calibri" w:cs="Calibri"/>
          <w:lang w:val="en-US"/>
        </w:rPr>
        <w:t>los</w:t>
      </w:r>
      <w:proofErr w:type="spellEnd"/>
      <w:r w:rsidRPr="008A0F66">
        <w:rPr>
          <w:rFonts w:ascii="Calibri" w:hAnsi="Calibri" w:cs="Calibri"/>
          <w:lang w:val="en-US"/>
        </w:rPr>
        <w:t xml:space="preserve"> </w:t>
      </w:r>
      <w:proofErr w:type="spellStart"/>
      <w:r w:rsidRPr="008A0F66">
        <w:rPr>
          <w:rFonts w:ascii="Calibri" w:hAnsi="Calibri" w:cs="Calibri"/>
          <w:lang w:val="en-US"/>
        </w:rPr>
        <w:t>investigadores</w:t>
      </w:r>
      <w:proofErr w:type="spellEnd"/>
      <w:r w:rsidRPr="008A0F66">
        <w:rPr>
          <w:rFonts w:ascii="Calibri" w:hAnsi="Calibri" w:cs="Calibri"/>
          <w:lang w:val="en-US"/>
        </w:rPr>
        <w:t xml:space="preserve"> </w:t>
      </w:r>
      <w:proofErr w:type="spellStart"/>
      <w:r w:rsidRPr="008A0F66">
        <w:rPr>
          <w:rFonts w:ascii="Calibri" w:hAnsi="Calibri" w:cs="Calibri"/>
          <w:lang w:val="en-US"/>
        </w:rPr>
        <w:t>en</w:t>
      </w:r>
      <w:proofErr w:type="spellEnd"/>
      <w:r w:rsidRPr="008A0F66">
        <w:rPr>
          <w:rFonts w:ascii="Calibri" w:hAnsi="Calibri" w:cs="Calibri"/>
          <w:lang w:val="en-US"/>
        </w:rPr>
        <w:t xml:space="preserve"> la </w:t>
      </w:r>
      <w:proofErr w:type="spellStart"/>
      <w:r w:rsidRPr="008A0F66">
        <w:rPr>
          <w:rFonts w:ascii="Calibri" w:hAnsi="Calibri" w:cs="Calibri"/>
          <w:lang w:val="en-US"/>
        </w:rPr>
        <w:t>investigación</w:t>
      </w:r>
      <w:proofErr w:type="spellEnd"/>
      <w:r w:rsidRPr="008A0F66">
        <w:rPr>
          <w:rFonts w:ascii="Calibri" w:hAnsi="Calibri" w:cs="Calibri"/>
          <w:lang w:val="en-US"/>
        </w:rPr>
        <w:t xml:space="preserve"> </w:t>
      </w:r>
      <w:proofErr w:type="spellStart"/>
      <w:r w:rsidRPr="008A0F66">
        <w:rPr>
          <w:rFonts w:ascii="Calibri" w:hAnsi="Calibri" w:cs="Calibri"/>
          <w:lang w:val="en-US"/>
        </w:rPr>
        <w:t>inclusiva</w:t>
      </w:r>
      <w:proofErr w:type="spellEnd"/>
      <w:r w:rsidRPr="008A0F66">
        <w:rPr>
          <w:rFonts w:ascii="Calibri" w:hAnsi="Calibri" w:cs="Calibri"/>
          <w:lang w:val="en-US"/>
        </w:rPr>
        <w:t xml:space="preserve"> y </w:t>
      </w:r>
      <w:proofErr w:type="spellStart"/>
      <w:r w:rsidRPr="008A0F66">
        <w:rPr>
          <w:rFonts w:ascii="Calibri" w:hAnsi="Calibri" w:cs="Calibri"/>
          <w:lang w:val="en-US"/>
        </w:rPr>
        <w:t>su</w:t>
      </w:r>
      <w:proofErr w:type="spellEnd"/>
      <w:r w:rsidRPr="008A0F66">
        <w:rPr>
          <w:rFonts w:ascii="Calibri" w:hAnsi="Calibri" w:cs="Calibri"/>
          <w:lang w:val="en-US"/>
        </w:rPr>
        <w:t xml:space="preserve"> </w:t>
      </w:r>
      <w:proofErr w:type="spellStart"/>
      <w:r w:rsidRPr="008A0F66">
        <w:rPr>
          <w:rFonts w:ascii="Calibri" w:hAnsi="Calibri" w:cs="Calibri"/>
          <w:lang w:val="en-US"/>
        </w:rPr>
        <w:t>posible</w:t>
      </w:r>
      <w:proofErr w:type="spellEnd"/>
      <w:r w:rsidRPr="008A0F66">
        <w:rPr>
          <w:rFonts w:ascii="Calibri" w:hAnsi="Calibri" w:cs="Calibri"/>
          <w:lang w:val="en-US"/>
        </w:rPr>
        <w:t xml:space="preserve"> </w:t>
      </w:r>
      <w:proofErr w:type="spellStart"/>
      <w:r w:rsidRPr="008A0F66">
        <w:rPr>
          <w:rFonts w:ascii="Calibri" w:hAnsi="Calibri" w:cs="Calibri"/>
          <w:lang w:val="en-US"/>
        </w:rPr>
        <w:t>contribución</w:t>
      </w:r>
      <w:proofErr w:type="spellEnd"/>
      <w:r w:rsidRPr="008A0F66">
        <w:rPr>
          <w:rFonts w:ascii="Calibri" w:hAnsi="Calibri" w:cs="Calibri"/>
          <w:lang w:val="en-US"/>
        </w:rPr>
        <w:t xml:space="preserve"> a la </w:t>
      </w:r>
      <w:proofErr w:type="spellStart"/>
      <w:r w:rsidRPr="008A0F66">
        <w:rPr>
          <w:rFonts w:ascii="Calibri" w:hAnsi="Calibri" w:cs="Calibri"/>
          <w:lang w:val="en-US"/>
        </w:rPr>
        <w:t>inclusión</w:t>
      </w:r>
      <w:proofErr w:type="spellEnd"/>
      <w:r w:rsidRPr="008A0F66">
        <w:rPr>
          <w:rFonts w:ascii="Calibri" w:hAnsi="Calibri" w:cs="Calibri"/>
          <w:lang w:val="en-US"/>
        </w:rPr>
        <w:t xml:space="preserve"> social. El </w:t>
      </w:r>
      <w:proofErr w:type="spellStart"/>
      <w:r w:rsidRPr="008A0F66">
        <w:rPr>
          <w:rFonts w:ascii="Calibri" w:hAnsi="Calibri" w:cs="Calibri"/>
          <w:lang w:val="en-US"/>
        </w:rPr>
        <w:t>enfoque</w:t>
      </w:r>
      <w:proofErr w:type="spellEnd"/>
      <w:r w:rsidRPr="008A0F66">
        <w:rPr>
          <w:rFonts w:ascii="Calibri" w:hAnsi="Calibri" w:cs="Calibri"/>
          <w:lang w:val="en-US"/>
        </w:rPr>
        <w:t xml:space="preserve"> se dirige </w:t>
      </w:r>
      <w:proofErr w:type="spellStart"/>
      <w:r w:rsidRPr="008A0F66">
        <w:rPr>
          <w:rFonts w:ascii="Calibri" w:hAnsi="Calibri" w:cs="Calibri"/>
          <w:lang w:val="en-US"/>
        </w:rPr>
        <w:t>específicamente</w:t>
      </w:r>
      <w:proofErr w:type="spellEnd"/>
      <w:r w:rsidRPr="008A0F66">
        <w:rPr>
          <w:rFonts w:ascii="Calibri" w:hAnsi="Calibri" w:cs="Calibri"/>
          <w:lang w:val="en-US"/>
        </w:rPr>
        <w:t xml:space="preserve"> a </w:t>
      </w:r>
      <w:proofErr w:type="spellStart"/>
      <w:r w:rsidRPr="008A0F66">
        <w:rPr>
          <w:rFonts w:ascii="Calibri" w:hAnsi="Calibri" w:cs="Calibri"/>
          <w:lang w:val="en-US"/>
        </w:rPr>
        <w:t>grupos</w:t>
      </w:r>
      <w:proofErr w:type="spellEnd"/>
      <w:r w:rsidRPr="008A0F66">
        <w:rPr>
          <w:rFonts w:ascii="Calibri" w:hAnsi="Calibri" w:cs="Calibri"/>
          <w:lang w:val="en-US"/>
        </w:rPr>
        <w:t xml:space="preserve"> </w:t>
      </w:r>
      <w:proofErr w:type="spellStart"/>
      <w:r w:rsidRPr="008A0F66">
        <w:rPr>
          <w:rFonts w:ascii="Calibri" w:hAnsi="Calibri" w:cs="Calibri"/>
          <w:lang w:val="en-US"/>
        </w:rPr>
        <w:t>específicos</w:t>
      </w:r>
      <w:proofErr w:type="spellEnd"/>
      <w:r w:rsidRPr="008A0F66">
        <w:rPr>
          <w:rFonts w:ascii="Calibri" w:hAnsi="Calibri" w:cs="Calibri"/>
          <w:lang w:val="en-US"/>
        </w:rPr>
        <w:t xml:space="preserve"> que a menudo </w:t>
      </w:r>
      <w:proofErr w:type="spellStart"/>
      <w:r w:rsidRPr="008A0F66">
        <w:rPr>
          <w:rFonts w:ascii="Calibri" w:hAnsi="Calibri" w:cs="Calibri"/>
          <w:lang w:val="en-US"/>
        </w:rPr>
        <w:t>quedan</w:t>
      </w:r>
      <w:proofErr w:type="spellEnd"/>
      <w:r w:rsidRPr="008A0F66">
        <w:rPr>
          <w:rFonts w:ascii="Calibri" w:hAnsi="Calibri" w:cs="Calibri"/>
          <w:lang w:val="en-US"/>
        </w:rPr>
        <w:t xml:space="preserve"> </w:t>
      </w:r>
      <w:proofErr w:type="spellStart"/>
      <w:r w:rsidRPr="008A0F66">
        <w:rPr>
          <w:rFonts w:ascii="Calibri" w:hAnsi="Calibri" w:cs="Calibri"/>
          <w:lang w:val="en-US"/>
        </w:rPr>
        <w:t>excluidos</w:t>
      </w:r>
      <w:proofErr w:type="spellEnd"/>
      <w:r w:rsidRPr="008A0F66">
        <w:rPr>
          <w:rFonts w:ascii="Calibri" w:hAnsi="Calibri" w:cs="Calibri"/>
          <w:lang w:val="en-US"/>
        </w:rPr>
        <w:t xml:space="preserve"> de la </w:t>
      </w:r>
      <w:proofErr w:type="spellStart"/>
      <w:r w:rsidRPr="008A0F66">
        <w:rPr>
          <w:rFonts w:ascii="Calibri" w:hAnsi="Calibri" w:cs="Calibri"/>
          <w:lang w:val="en-US"/>
        </w:rPr>
        <w:t>toma</w:t>
      </w:r>
      <w:proofErr w:type="spellEnd"/>
      <w:r w:rsidRPr="008A0F66">
        <w:rPr>
          <w:rFonts w:ascii="Calibri" w:hAnsi="Calibri" w:cs="Calibri"/>
          <w:lang w:val="en-US"/>
        </w:rPr>
        <w:t xml:space="preserve"> de </w:t>
      </w:r>
      <w:proofErr w:type="spellStart"/>
      <w:r w:rsidRPr="008A0F66">
        <w:rPr>
          <w:rFonts w:ascii="Calibri" w:hAnsi="Calibri" w:cs="Calibri"/>
          <w:lang w:val="en-US"/>
        </w:rPr>
        <w:t>decisiones</w:t>
      </w:r>
      <w:proofErr w:type="spellEnd"/>
      <w:r w:rsidRPr="008A0F66">
        <w:rPr>
          <w:rFonts w:ascii="Calibri" w:hAnsi="Calibri" w:cs="Calibri"/>
          <w:lang w:val="en-US"/>
        </w:rPr>
        <w:t xml:space="preserve"> local.</w:t>
      </w:r>
    </w:p>
    <w:p w14:paraId="2D5DC4E8" w14:textId="77777777" w:rsidR="009D608F" w:rsidRPr="00C05A62" w:rsidRDefault="009D608F" w:rsidP="009D608F">
      <w:pPr>
        <w:spacing w:before="0" w:after="0" w:line="360" w:lineRule="auto"/>
        <w:jc w:val="both"/>
        <w:rPr>
          <w:rFonts w:ascii="Calibri" w:hAnsi="Calibri" w:cs="Calibri"/>
          <w:lang w:val="en-US"/>
        </w:rPr>
      </w:pPr>
      <w:r w:rsidRPr="00C05A62">
        <w:rPr>
          <w:rFonts w:ascii="Calibri" w:hAnsi="Calibri" w:cs="Calibri"/>
          <w:lang w:val="en-US"/>
        </w:rPr>
        <w:t>Findings suggest that participatory methodologies, embedded in gerontological engineering, can create a more inclusive and dynamic model of civic engagement across the life course. This approach aligns with broader efforts to develop age-inclusive public policies, ensuring older populations are recognized as key actors in shaping their communities.</w:t>
      </w:r>
    </w:p>
    <w:p w14:paraId="0157BF3E" w14:textId="77777777" w:rsidR="009D608F" w:rsidRPr="003B2899" w:rsidRDefault="009D608F" w:rsidP="009D608F">
      <w:pPr>
        <w:spacing w:line="360" w:lineRule="auto"/>
        <w:jc w:val="both"/>
        <w:rPr>
          <w:rFonts w:ascii="Calibri" w:hAnsi="Calibri" w:cs="Calibri"/>
          <w:lang w:val="en-US"/>
        </w:rPr>
      </w:pPr>
      <w:r w:rsidRPr="008A0F66">
        <w:rPr>
          <w:rFonts w:ascii="Calibri" w:hAnsi="Calibri" w:cs="Calibri"/>
          <w:b/>
          <w:bCs/>
          <w:sz w:val="28"/>
          <w:szCs w:val="28"/>
          <w:lang w:val="en-US"/>
        </w:rPr>
        <w:t xml:space="preserve">Palabras clave: </w:t>
      </w:r>
      <w:proofErr w:type="spellStart"/>
      <w:r w:rsidRPr="003B2899">
        <w:rPr>
          <w:rFonts w:ascii="Calibri" w:hAnsi="Calibri" w:cs="Calibri"/>
          <w:lang w:val="en-US"/>
        </w:rPr>
        <w:t>envejecimiento</w:t>
      </w:r>
      <w:proofErr w:type="spellEnd"/>
      <w:r w:rsidRPr="003B2899">
        <w:rPr>
          <w:rFonts w:ascii="Calibri" w:hAnsi="Calibri" w:cs="Calibri"/>
          <w:lang w:val="en-US"/>
        </w:rPr>
        <w:t xml:space="preserve"> y </w:t>
      </w:r>
      <w:proofErr w:type="spellStart"/>
      <w:r w:rsidRPr="003B2899">
        <w:rPr>
          <w:rFonts w:ascii="Calibri" w:hAnsi="Calibri" w:cs="Calibri"/>
          <w:lang w:val="en-US"/>
        </w:rPr>
        <w:t>ciudadanía</w:t>
      </w:r>
      <w:proofErr w:type="spellEnd"/>
      <w:r w:rsidRPr="003B2899">
        <w:rPr>
          <w:rFonts w:ascii="Calibri" w:hAnsi="Calibri" w:cs="Calibri"/>
          <w:lang w:val="en-US"/>
        </w:rPr>
        <w:t xml:space="preserve"> </w:t>
      </w:r>
      <w:proofErr w:type="spellStart"/>
      <w:r w:rsidRPr="003B2899">
        <w:rPr>
          <w:rFonts w:ascii="Calibri" w:hAnsi="Calibri" w:cs="Calibri"/>
          <w:lang w:val="en-US"/>
        </w:rPr>
        <w:t>sostenible</w:t>
      </w:r>
      <w:proofErr w:type="spellEnd"/>
      <w:r w:rsidRPr="003B2899">
        <w:rPr>
          <w:rFonts w:ascii="Calibri" w:hAnsi="Calibri" w:cs="Calibri"/>
          <w:lang w:val="en-US"/>
        </w:rPr>
        <w:t xml:space="preserve">, </w:t>
      </w:r>
      <w:proofErr w:type="spellStart"/>
      <w:r w:rsidRPr="003B2899">
        <w:rPr>
          <w:rFonts w:ascii="Calibri" w:hAnsi="Calibri" w:cs="Calibri"/>
          <w:lang w:val="en-US"/>
        </w:rPr>
        <w:t>enfoque</w:t>
      </w:r>
      <w:proofErr w:type="spellEnd"/>
      <w:r w:rsidRPr="003B2899">
        <w:rPr>
          <w:rFonts w:ascii="Calibri" w:hAnsi="Calibri" w:cs="Calibri"/>
          <w:lang w:val="en-US"/>
        </w:rPr>
        <w:t xml:space="preserve"> del </w:t>
      </w:r>
      <w:proofErr w:type="spellStart"/>
      <w:r w:rsidRPr="003B2899">
        <w:rPr>
          <w:rFonts w:ascii="Calibri" w:hAnsi="Calibri" w:cs="Calibri"/>
          <w:lang w:val="en-US"/>
        </w:rPr>
        <w:t>curso</w:t>
      </w:r>
      <w:proofErr w:type="spellEnd"/>
      <w:r w:rsidRPr="003B2899">
        <w:rPr>
          <w:rFonts w:ascii="Calibri" w:hAnsi="Calibri" w:cs="Calibri"/>
          <w:lang w:val="en-US"/>
        </w:rPr>
        <w:t xml:space="preserve"> de </w:t>
      </w:r>
      <w:proofErr w:type="spellStart"/>
      <w:r w:rsidRPr="003B2899">
        <w:rPr>
          <w:rFonts w:ascii="Calibri" w:hAnsi="Calibri" w:cs="Calibri"/>
          <w:lang w:val="en-US"/>
        </w:rPr>
        <w:t>vida</w:t>
      </w:r>
      <w:proofErr w:type="spellEnd"/>
      <w:r w:rsidRPr="003B2899">
        <w:rPr>
          <w:rFonts w:ascii="Calibri" w:hAnsi="Calibri" w:cs="Calibri"/>
          <w:lang w:val="en-US"/>
        </w:rPr>
        <w:t xml:space="preserve"> para </w:t>
      </w:r>
      <w:proofErr w:type="spellStart"/>
      <w:r w:rsidRPr="003B2899">
        <w:rPr>
          <w:rFonts w:ascii="Calibri" w:hAnsi="Calibri" w:cs="Calibri"/>
          <w:lang w:val="en-US"/>
        </w:rPr>
        <w:t>el</w:t>
      </w:r>
      <w:proofErr w:type="spellEnd"/>
      <w:r w:rsidRPr="003B2899">
        <w:rPr>
          <w:rFonts w:ascii="Calibri" w:hAnsi="Calibri" w:cs="Calibri"/>
          <w:lang w:val="en-US"/>
        </w:rPr>
        <w:t xml:space="preserve"> </w:t>
      </w:r>
      <w:proofErr w:type="spellStart"/>
      <w:r w:rsidRPr="003B2899">
        <w:rPr>
          <w:rFonts w:ascii="Calibri" w:hAnsi="Calibri" w:cs="Calibri"/>
          <w:lang w:val="en-US"/>
        </w:rPr>
        <w:t>compromiso</w:t>
      </w:r>
      <w:proofErr w:type="spellEnd"/>
      <w:r w:rsidRPr="003B2899">
        <w:rPr>
          <w:rFonts w:ascii="Calibri" w:hAnsi="Calibri" w:cs="Calibri"/>
          <w:lang w:val="en-US"/>
        </w:rPr>
        <w:t xml:space="preserve"> </w:t>
      </w:r>
      <w:proofErr w:type="spellStart"/>
      <w:r w:rsidRPr="003B2899">
        <w:rPr>
          <w:rFonts w:ascii="Calibri" w:hAnsi="Calibri" w:cs="Calibri"/>
          <w:lang w:val="en-US"/>
        </w:rPr>
        <w:t>cívico</w:t>
      </w:r>
      <w:proofErr w:type="spellEnd"/>
      <w:r w:rsidRPr="003B2899">
        <w:rPr>
          <w:rFonts w:ascii="Calibri" w:hAnsi="Calibri" w:cs="Calibri"/>
          <w:lang w:val="en-US"/>
        </w:rPr>
        <w:t xml:space="preserve">, </w:t>
      </w:r>
      <w:proofErr w:type="spellStart"/>
      <w:r w:rsidRPr="003B2899">
        <w:rPr>
          <w:rFonts w:ascii="Calibri" w:hAnsi="Calibri" w:cs="Calibri"/>
          <w:lang w:val="en-US"/>
        </w:rPr>
        <w:t>metodologías</w:t>
      </w:r>
      <w:proofErr w:type="spellEnd"/>
      <w:r w:rsidRPr="003B2899">
        <w:rPr>
          <w:rFonts w:ascii="Calibri" w:hAnsi="Calibri" w:cs="Calibri"/>
          <w:lang w:val="en-US"/>
        </w:rPr>
        <w:t xml:space="preserve"> </w:t>
      </w:r>
      <w:proofErr w:type="spellStart"/>
      <w:r w:rsidRPr="003B2899">
        <w:rPr>
          <w:rFonts w:ascii="Calibri" w:hAnsi="Calibri" w:cs="Calibri"/>
          <w:lang w:val="en-US"/>
        </w:rPr>
        <w:t>participativas</w:t>
      </w:r>
      <w:proofErr w:type="spellEnd"/>
      <w:r w:rsidRPr="003B2899">
        <w:rPr>
          <w:rFonts w:ascii="Calibri" w:hAnsi="Calibri" w:cs="Calibri"/>
          <w:lang w:val="en-US"/>
        </w:rPr>
        <w:t xml:space="preserve">, </w:t>
      </w:r>
      <w:proofErr w:type="spellStart"/>
      <w:r w:rsidRPr="003B2899">
        <w:rPr>
          <w:rFonts w:ascii="Calibri" w:hAnsi="Calibri" w:cs="Calibri"/>
          <w:lang w:val="en-US"/>
        </w:rPr>
        <w:t>ingeniería</w:t>
      </w:r>
      <w:proofErr w:type="spellEnd"/>
      <w:r w:rsidRPr="003B2899">
        <w:rPr>
          <w:rFonts w:ascii="Calibri" w:hAnsi="Calibri" w:cs="Calibri"/>
          <w:lang w:val="en-US"/>
        </w:rPr>
        <w:t xml:space="preserve"> </w:t>
      </w:r>
      <w:proofErr w:type="spellStart"/>
      <w:r w:rsidRPr="003B2899">
        <w:rPr>
          <w:rFonts w:ascii="Calibri" w:hAnsi="Calibri" w:cs="Calibri"/>
          <w:lang w:val="en-US"/>
        </w:rPr>
        <w:t>gerontológica</w:t>
      </w:r>
      <w:proofErr w:type="spellEnd"/>
      <w:r w:rsidRPr="003B2899">
        <w:rPr>
          <w:rFonts w:ascii="Calibri" w:hAnsi="Calibri" w:cs="Calibri"/>
          <w:lang w:val="en-US"/>
        </w:rPr>
        <w:t xml:space="preserve">, derechos de las personas </w:t>
      </w:r>
      <w:proofErr w:type="spellStart"/>
      <w:r w:rsidRPr="003B2899">
        <w:rPr>
          <w:rFonts w:ascii="Calibri" w:hAnsi="Calibri" w:cs="Calibri"/>
          <w:lang w:val="en-US"/>
        </w:rPr>
        <w:t>mayores</w:t>
      </w:r>
      <w:proofErr w:type="spellEnd"/>
      <w:r w:rsidRPr="003B2899">
        <w:rPr>
          <w:rFonts w:ascii="Calibri" w:hAnsi="Calibri" w:cs="Calibri"/>
          <w:lang w:val="en-US"/>
        </w:rPr>
        <w:t>.</w:t>
      </w:r>
    </w:p>
    <w:p w14:paraId="1E506187" w14:textId="77777777" w:rsidR="009D608F" w:rsidRPr="008A0F66" w:rsidRDefault="009D608F" w:rsidP="009D608F">
      <w:pPr>
        <w:spacing w:line="360" w:lineRule="auto"/>
        <w:jc w:val="both"/>
        <w:rPr>
          <w:rFonts w:ascii="Calibri" w:hAnsi="Calibri" w:cs="Calibri"/>
          <w:lang w:val="en-US"/>
        </w:rPr>
      </w:pPr>
    </w:p>
    <w:p w14:paraId="0CBA2DC5" w14:textId="77777777" w:rsidR="009D608F" w:rsidRPr="008A0F66" w:rsidRDefault="009D608F" w:rsidP="009D608F">
      <w:pPr>
        <w:spacing w:before="0" w:after="0" w:line="360" w:lineRule="auto"/>
        <w:jc w:val="both"/>
        <w:rPr>
          <w:rFonts w:ascii="Calibri" w:hAnsi="Calibri" w:cs="Calibri"/>
          <w:b/>
          <w:bCs/>
          <w:sz w:val="28"/>
          <w:szCs w:val="28"/>
          <w:lang w:val="en-US" w:eastAsia="fr-FR"/>
        </w:rPr>
      </w:pPr>
      <w:proofErr w:type="spellStart"/>
      <w:r w:rsidRPr="008A0F66">
        <w:rPr>
          <w:rFonts w:ascii="Calibri" w:hAnsi="Calibri" w:cs="Calibri"/>
          <w:b/>
          <w:bCs/>
          <w:sz w:val="28"/>
          <w:szCs w:val="28"/>
          <w:lang w:val="en-US" w:eastAsia="fr-FR"/>
        </w:rPr>
        <w:t>Resumo</w:t>
      </w:r>
      <w:proofErr w:type="spellEnd"/>
    </w:p>
    <w:p w14:paraId="5D7AA69C" w14:textId="77777777" w:rsidR="009D608F" w:rsidRDefault="009D608F" w:rsidP="009D608F">
      <w:pPr>
        <w:spacing w:line="360" w:lineRule="auto"/>
        <w:jc w:val="both"/>
        <w:rPr>
          <w:rFonts w:ascii="Calibri" w:hAnsi="Calibri" w:cs="Calibri"/>
          <w:lang w:val="en-US"/>
        </w:rPr>
      </w:pPr>
      <w:r w:rsidRPr="00C05A62">
        <w:rPr>
          <w:rFonts w:ascii="Calibri" w:hAnsi="Calibri" w:cs="Calibri"/>
          <w:lang w:val="en-US"/>
        </w:rPr>
        <w:t xml:space="preserve">A </w:t>
      </w:r>
      <w:proofErr w:type="spellStart"/>
      <w:r w:rsidRPr="00C05A62">
        <w:rPr>
          <w:rFonts w:ascii="Calibri" w:hAnsi="Calibri" w:cs="Calibri"/>
          <w:lang w:val="en-US"/>
        </w:rPr>
        <w:t>transição</w:t>
      </w:r>
      <w:proofErr w:type="spellEnd"/>
      <w:r w:rsidRPr="00C05A62">
        <w:rPr>
          <w:rFonts w:ascii="Calibri" w:hAnsi="Calibri" w:cs="Calibri"/>
          <w:lang w:val="en-US"/>
        </w:rPr>
        <w:t xml:space="preserve"> </w:t>
      </w:r>
      <w:proofErr w:type="spellStart"/>
      <w:r w:rsidRPr="00C05A62">
        <w:rPr>
          <w:rFonts w:ascii="Calibri" w:hAnsi="Calibri" w:cs="Calibri"/>
          <w:lang w:val="en-US"/>
        </w:rPr>
        <w:t>demográfica</w:t>
      </w:r>
      <w:proofErr w:type="spellEnd"/>
      <w:r w:rsidRPr="00C05A62">
        <w:rPr>
          <w:rFonts w:ascii="Calibri" w:hAnsi="Calibri" w:cs="Calibri"/>
          <w:lang w:val="en-US"/>
        </w:rPr>
        <w:t xml:space="preserve"> global </w:t>
      </w:r>
      <w:proofErr w:type="spellStart"/>
      <w:r w:rsidRPr="00C05A62">
        <w:rPr>
          <w:rFonts w:ascii="Calibri" w:hAnsi="Calibri" w:cs="Calibri"/>
          <w:lang w:val="en-US"/>
        </w:rPr>
        <w:t>apresenta</w:t>
      </w:r>
      <w:proofErr w:type="spellEnd"/>
      <w:r w:rsidRPr="00C05A62">
        <w:rPr>
          <w:rFonts w:ascii="Calibri" w:hAnsi="Calibri" w:cs="Calibri"/>
          <w:lang w:val="en-US"/>
        </w:rPr>
        <w:t xml:space="preserve"> </w:t>
      </w:r>
      <w:proofErr w:type="spellStart"/>
      <w:r w:rsidRPr="00C05A62">
        <w:rPr>
          <w:rFonts w:ascii="Calibri" w:hAnsi="Calibri" w:cs="Calibri"/>
          <w:lang w:val="en-US"/>
        </w:rPr>
        <w:t>desafios</w:t>
      </w:r>
      <w:proofErr w:type="spellEnd"/>
      <w:r w:rsidRPr="00C05A62">
        <w:rPr>
          <w:rFonts w:ascii="Calibri" w:hAnsi="Calibri" w:cs="Calibri"/>
          <w:lang w:val="en-US"/>
        </w:rPr>
        <w:t xml:space="preserve"> e </w:t>
      </w:r>
      <w:proofErr w:type="spellStart"/>
      <w:r w:rsidRPr="00C05A62">
        <w:rPr>
          <w:rFonts w:ascii="Calibri" w:hAnsi="Calibri" w:cs="Calibri"/>
          <w:lang w:val="en-US"/>
        </w:rPr>
        <w:t>oportunidades</w:t>
      </w:r>
      <w:proofErr w:type="spellEnd"/>
      <w:r w:rsidRPr="00C05A62">
        <w:rPr>
          <w:rFonts w:ascii="Calibri" w:hAnsi="Calibri" w:cs="Calibri"/>
          <w:lang w:val="en-US"/>
        </w:rPr>
        <w:t xml:space="preserve"> para o </w:t>
      </w:r>
      <w:proofErr w:type="spellStart"/>
      <w:r w:rsidRPr="00C05A62">
        <w:rPr>
          <w:rFonts w:ascii="Calibri" w:hAnsi="Calibri" w:cs="Calibri"/>
          <w:lang w:val="en-US"/>
        </w:rPr>
        <w:t>fomento</w:t>
      </w:r>
      <w:proofErr w:type="spellEnd"/>
      <w:r w:rsidRPr="00C05A62">
        <w:rPr>
          <w:rFonts w:ascii="Calibri" w:hAnsi="Calibri" w:cs="Calibri"/>
          <w:lang w:val="en-US"/>
        </w:rPr>
        <w:t xml:space="preserve"> de </w:t>
      </w:r>
      <w:proofErr w:type="spellStart"/>
      <w:r w:rsidRPr="00C05A62">
        <w:rPr>
          <w:rFonts w:ascii="Calibri" w:hAnsi="Calibri" w:cs="Calibri"/>
          <w:lang w:val="en-US"/>
        </w:rPr>
        <w:t>sociedades</w:t>
      </w:r>
      <w:proofErr w:type="spellEnd"/>
      <w:r w:rsidRPr="00C05A62">
        <w:rPr>
          <w:rFonts w:ascii="Calibri" w:hAnsi="Calibri" w:cs="Calibri"/>
          <w:lang w:val="en-US"/>
        </w:rPr>
        <w:t xml:space="preserve"> </w:t>
      </w:r>
      <w:proofErr w:type="spellStart"/>
      <w:r w:rsidRPr="00C05A62">
        <w:rPr>
          <w:rFonts w:ascii="Calibri" w:hAnsi="Calibri" w:cs="Calibri"/>
          <w:lang w:val="en-US"/>
        </w:rPr>
        <w:t>inclusivas</w:t>
      </w:r>
      <w:proofErr w:type="spellEnd"/>
      <w:r w:rsidRPr="00C05A62">
        <w:rPr>
          <w:rFonts w:ascii="Calibri" w:hAnsi="Calibri" w:cs="Calibri"/>
          <w:lang w:val="en-US"/>
        </w:rPr>
        <w:t xml:space="preserve"> que </w:t>
      </w:r>
      <w:proofErr w:type="spellStart"/>
      <w:r w:rsidRPr="00C05A62">
        <w:rPr>
          <w:rFonts w:ascii="Calibri" w:hAnsi="Calibri" w:cs="Calibri"/>
          <w:lang w:val="en-US"/>
        </w:rPr>
        <w:t>promovam</w:t>
      </w:r>
      <w:proofErr w:type="spellEnd"/>
      <w:r w:rsidRPr="00C05A62">
        <w:rPr>
          <w:rFonts w:ascii="Calibri" w:hAnsi="Calibri" w:cs="Calibri"/>
          <w:lang w:val="en-US"/>
        </w:rPr>
        <w:t xml:space="preserve"> a </w:t>
      </w:r>
      <w:proofErr w:type="spellStart"/>
      <w:r w:rsidRPr="00C05A62">
        <w:rPr>
          <w:rFonts w:ascii="Calibri" w:hAnsi="Calibri" w:cs="Calibri"/>
          <w:lang w:val="en-US"/>
        </w:rPr>
        <w:t>cidadania</w:t>
      </w:r>
      <w:proofErr w:type="spellEnd"/>
      <w:r w:rsidRPr="00C05A62">
        <w:rPr>
          <w:rFonts w:ascii="Calibri" w:hAnsi="Calibri" w:cs="Calibri"/>
          <w:lang w:val="en-US"/>
        </w:rPr>
        <w:t xml:space="preserve"> </w:t>
      </w:r>
      <w:proofErr w:type="spellStart"/>
      <w:r w:rsidRPr="00C05A62">
        <w:rPr>
          <w:rFonts w:ascii="Calibri" w:hAnsi="Calibri" w:cs="Calibri"/>
          <w:lang w:val="en-US"/>
        </w:rPr>
        <w:t>ativa</w:t>
      </w:r>
      <w:proofErr w:type="spellEnd"/>
      <w:r w:rsidRPr="00C05A62">
        <w:rPr>
          <w:rFonts w:ascii="Calibri" w:hAnsi="Calibri" w:cs="Calibri"/>
          <w:lang w:val="en-US"/>
        </w:rPr>
        <w:t xml:space="preserve"> e a </w:t>
      </w:r>
      <w:proofErr w:type="spellStart"/>
      <w:r w:rsidRPr="00C05A62">
        <w:rPr>
          <w:rFonts w:ascii="Calibri" w:hAnsi="Calibri" w:cs="Calibri"/>
          <w:lang w:val="en-US"/>
        </w:rPr>
        <w:t>participação</w:t>
      </w:r>
      <w:proofErr w:type="spellEnd"/>
      <w:r w:rsidRPr="00C05A62">
        <w:rPr>
          <w:rFonts w:ascii="Calibri" w:hAnsi="Calibri" w:cs="Calibri"/>
          <w:lang w:val="en-US"/>
        </w:rPr>
        <w:t xml:space="preserve"> </w:t>
      </w:r>
      <w:proofErr w:type="spellStart"/>
      <w:r w:rsidRPr="00C05A62">
        <w:rPr>
          <w:rFonts w:ascii="Calibri" w:hAnsi="Calibri" w:cs="Calibri"/>
          <w:lang w:val="en-US"/>
        </w:rPr>
        <w:t>vitalícia</w:t>
      </w:r>
      <w:proofErr w:type="spellEnd"/>
      <w:r w:rsidRPr="00C05A62">
        <w:rPr>
          <w:rFonts w:ascii="Calibri" w:hAnsi="Calibri" w:cs="Calibri"/>
          <w:lang w:val="en-US"/>
        </w:rPr>
        <w:t xml:space="preserve"> dos </w:t>
      </w:r>
      <w:proofErr w:type="spellStart"/>
      <w:r w:rsidRPr="00C05A62">
        <w:rPr>
          <w:rFonts w:ascii="Calibri" w:hAnsi="Calibri" w:cs="Calibri"/>
          <w:lang w:val="en-US"/>
        </w:rPr>
        <w:t>idosos</w:t>
      </w:r>
      <w:proofErr w:type="spellEnd"/>
      <w:r w:rsidRPr="00C05A62">
        <w:rPr>
          <w:rFonts w:ascii="Calibri" w:hAnsi="Calibri" w:cs="Calibri"/>
          <w:lang w:val="en-US"/>
        </w:rPr>
        <w:t xml:space="preserve">. </w:t>
      </w:r>
      <w:proofErr w:type="spellStart"/>
      <w:r w:rsidRPr="00C05A62">
        <w:rPr>
          <w:rFonts w:ascii="Calibri" w:hAnsi="Calibri" w:cs="Calibri"/>
          <w:lang w:val="en-US"/>
        </w:rPr>
        <w:t>Orientado</w:t>
      </w:r>
      <w:proofErr w:type="spellEnd"/>
      <w:r w:rsidRPr="00C05A62">
        <w:rPr>
          <w:rFonts w:ascii="Calibri" w:hAnsi="Calibri" w:cs="Calibri"/>
          <w:lang w:val="en-US"/>
        </w:rPr>
        <w:t xml:space="preserve"> </w:t>
      </w:r>
      <w:proofErr w:type="spellStart"/>
      <w:r w:rsidRPr="00C05A62">
        <w:rPr>
          <w:rFonts w:ascii="Calibri" w:hAnsi="Calibri" w:cs="Calibri"/>
          <w:lang w:val="en-US"/>
        </w:rPr>
        <w:t>pelos</w:t>
      </w:r>
      <w:proofErr w:type="spellEnd"/>
      <w:r w:rsidRPr="00C05A62">
        <w:rPr>
          <w:rFonts w:ascii="Calibri" w:hAnsi="Calibri" w:cs="Calibri"/>
          <w:lang w:val="en-US"/>
        </w:rPr>
        <w:t xml:space="preserve"> </w:t>
      </w:r>
      <w:proofErr w:type="spellStart"/>
      <w:r w:rsidRPr="00C05A62">
        <w:rPr>
          <w:rFonts w:ascii="Calibri" w:hAnsi="Calibri" w:cs="Calibri"/>
          <w:lang w:val="en-US"/>
        </w:rPr>
        <w:t>Princípios</w:t>
      </w:r>
      <w:proofErr w:type="spellEnd"/>
      <w:r w:rsidRPr="00C05A62">
        <w:rPr>
          <w:rFonts w:ascii="Calibri" w:hAnsi="Calibri" w:cs="Calibri"/>
          <w:lang w:val="en-US"/>
        </w:rPr>
        <w:t xml:space="preserve"> das </w:t>
      </w:r>
      <w:proofErr w:type="spellStart"/>
      <w:r w:rsidRPr="00C05A62">
        <w:rPr>
          <w:rFonts w:ascii="Calibri" w:hAnsi="Calibri" w:cs="Calibri"/>
          <w:lang w:val="en-US"/>
        </w:rPr>
        <w:t>Nações</w:t>
      </w:r>
      <w:proofErr w:type="spellEnd"/>
      <w:r w:rsidRPr="00C05A62">
        <w:rPr>
          <w:rFonts w:ascii="Calibri" w:hAnsi="Calibri" w:cs="Calibri"/>
          <w:lang w:val="en-US"/>
        </w:rPr>
        <w:t xml:space="preserve"> Unidas para a Pessoa Idosa (1991) e pela </w:t>
      </w:r>
      <w:proofErr w:type="spellStart"/>
      <w:r w:rsidRPr="00C05A62">
        <w:rPr>
          <w:rFonts w:ascii="Calibri" w:hAnsi="Calibri" w:cs="Calibri"/>
          <w:lang w:val="en-US"/>
        </w:rPr>
        <w:t>Declaração</w:t>
      </w:r>
      <w:proofErr w:type="spellEnd"/>
      <w:r w:rsidRPr="00C05A62">
        <w:rPr>
          <w:rFonts w:ascii="Calibri" w:hAnsi="Calibri" w:cs="Calibri"/>
          <w:lang w:val="en-US"/>
        </w:rPr>
        <w:t xml:space="preserve"> </w:t>
      </w:r>
      <w:r w:rsidRPr="00C05A62">
        <w:rPr>
          <w:rFonts w:ascii="Calibri" w:hAnsi="Calibri" w:cs="Calibri"/>
          <w:lang w:val="en-US"/>
        </w:rPr>
        <w:lastRenderedPageBreak/>
        <w:t xml:space="preserve">Universal </w:t>
      </w:r>
      <w:proofErr w:type="spellStart"/>
      <w:r w:rsidRPr="00C05A62">
        <w:rPr>
          <w:rFonts w:ascii="Calibri" w:hAnsi="Calibri" w:cs="Calibri"/>
          <w:lang w:val="en-US"/>
        </w:rPr>
        <w:t>sobre</w:t>
      </w:r>
      <w:proofErr w:type="spellEnd"/>
      <w:r w:rsidRPr="00C05A62">
        <w:rPr>
          <w:rFonts w:ascii="Calibri" w:hAnsi="Calibri" w:cs="Calibri"/>
          <w:lang w:val="en-US"/>
        </w:rPr>
        <w:t xml:space="preserve"> </w:t>
      </w:r>
      <w:proofErr w:type="spellStart"/>
      <w:r w:rsidRPr="00C05A62">
        <w:rPr>
          <w:rFonts w:ascii="Calibri" w:hAnsi="Calibri" w:cs="Calibri"/>
          <w:lang w:val="en-US"/>
        </w:rPr>
        <w:t>Diversidade</w:t>
      </w:r>
      <w:proofErr w:type="spellEnd"/>
      <w:r w:rsidRPr="00C05A62">
        <w:rPr>
          <w:rFonts w:ascii="Calibri" w:hAnsi="Calibri" w:cs="Calibri"/>
          <w:lang w:val="en-US"/>
        </w:rPr>
        <w:t xml:space="preserve"> Cultural da UNESCO (2001), </w:t>
      </w:r>
      <w:proofErr w:type="spellStart"/>
      <w:r w:rsidRPr="00C05A62">
        <w:rPr>
          <w:rFonts w:ascii="Calibri" w:hAnsi="Calibri" w:cs="Calibri"/>
          <w:lang w:val="en-US"/>
        </w:rPr>
        <w:t>este</w:t>
      </w:r>
      <w:proofErr w:type="spellEnd"/>
      <w:r w:rsidRPr="00C05A62">
        <w:rPr>
          <w:rFonts w:ascii="Calibri" w:hAnsi="Calibri" w:cs="Calibri"/>
          <w:lang w:val="en-US"/>
        </w:rPr>
        <w:t xml:space="preserve"> </w:t>
      </w:r>
      <w:proofErr w:type="spellStart"/>
      <w:r w:rsidRPr="00C05A62">
        <w:rPr>
          <w:rFonts w:ascii="Calibri" w:hAnsi="Calibri" w:cs="Calibri"/>
          <w:lang w:val="en-US"/>
        </w:rPr>
        <w:t>artigo</w:t>
      </w:r>
      <w:proofErr w:type="spellEnd"/>
      <w:r w:rsidRPr="00C05A62">
        <w:rPr>
          <w:rFonts w:ascii="Calibri" w:hAnsi="Calibri" w:cs="Calibri"/>
          <w:lang w:val="en-US"/>
        </w:rPr>
        <w:t xml:space="preserve"> </w:t>
      </w:r>
      <w:proofErr w:type="spellStart"/>
      <w:r w:rsidRPr="00C05A62">
        <w:rPr>
          <w:rFonts w:ascii="Calibri" w:hAnsi="Calibri" w:cs="Calibri"/>
          <w:lang w:val="en-US"/>
        </w:rPr>
        <w:t>enfatiza</w:t>
      </w:r>
      <w:proofErr w:type="spellEnd"/>
      <w:r w:rsidRPr="00C05A62">
        <w:rPr>
          <w:rFonts w:ascii="Calibri" w:hAnsi="Calibri" w:cs="Calibri"/>
          <w:lang w:val="en-US"/>
        </w:rPr>
        <w:t xml:space="preserve"> a </w:t>
      </w:r>
      <w:proofErr w:type="spellStart"/>
      <w:r w:rsidRPr="00C05A62">
        <w:rPr>
          <w:rFonts w:ascii="Calibri" w:hAnsi="Calibri" w:cs="Calibri"/>
          <w:lang w:val="en-US"/>
        </w:rPr>
        <w:t>questão</w:t>
      </w:r>
      <w:proofErr w:type="spellEnd"/>
      <w:r w:rsidRPr="00C05A62">
        <w:rPr>
          <w:rFonts w:ascii="Calibri" w:hAnsi="Calibri" w:cs="Calibri"/>
          <w:lang w:val="en-US"/>
        </w:rPr>
        <w:t xml:space="preserve"> da </w:t>
      </w:r>
      <w:proofErr w:type="spellStart"/>
      <w:r w:rsidRPr="00C05A62">
        <w:rPr>
          <w:rFonts w:ascii="Calibri" w:hAnsi="Calibri" w:cs="Calibri"/>
          <w:lang w:val="en-US"/>
        </w:rPr>
        <w:t>inclusão</w:t>
      </w:r>
      <w:proofErr w:type="spellEnd"/>
      <w:r w:rsidRPr="00C05A62">
        <w:rPr>
          <w:rFonts w:ascii="Calibri" w:hAnsi="Calibri" w:cs="Calibri"/>
          <w:lang w:val="en-US"/>
        </w:rPr>
        <w:t xml:space="preserve"> dos </w:t>
      </w:r>
      <w:proofErr w:type="spellStart"/>
      <w:r w:rsidRPr="00C05A62">
        <w:rPr>
          <w:rFonts w:ascii="Calibri" w:hAnsi="Calibri" w:cs="Calibri"/>
          <w:lang w:val="en-US"/>
        </w:rPr>
        <w:t>idosos</w:t>
      </w:r>
      <w:proofErr w:type="spellEnd"/>
      <w:r w:rsidRPr="00C05A62">
        <w:rPr>
          <w:rFonts w:ascii="Calibri" w:hAnsi="Calibri" w:cs="Calibri"/>
          <w:lang w:val="en-US"/>
        </w:rPr>
        <w:t xml:space="preserve"> </w:t>
      </w:r>
      <w:proofErr w:type="spellStart"/>
      <w:r w:rsidRPr="00C05A62">
        <w:rPr>
          <w:rFonts w:ascii="Calibri" w:hAnsi="Calibri" w:cs="Calibri"/>
          <w:lang w:val="en-US"/>
        </w:rPr>
        <w:t>nos</w:t>
      </w:r>
      <w:proofErr w:type="spellEnd"/>
      <w:r w:rsidRPr="00C05A62">
        <w:rPr>
          <w:rFonts w:ascii="Calibri" w:hAnsi="Calibri" w:cs="Calibri"/>
          <w:lang w:val="en-US"/>
        </w:rPr>
        <w:t xml:space="preserve"> </w:t>
      </w:r>
      <w:proofErr w:type="spellStart"/>
      <w:r w:rsidRPr="00C05A62">
        <w:rPr>
          <w:rFonts w:ascii="Calibri" w:hAnsi="Calibri" w:cs="Calibri"/>
          <w:lang w:val="en-US"/>
        </w:rPr>
        <w:t>processos</w:t>
      </w:r>
      <w:proofErr w:type="spellEnd"/>
      <w:r w:rsidRPr="00C05A62">
        <w:rPr>
          <w:rFonts w:ascii="Calibri" w:hAnsi="Calibri" w:cs="Calibri"/>
          <w:lang w:val="en-US"/>
        </w:rPr>
        <w:t xml:space="preserve"> de </w:t>
      </w:r>
      <w:proofErr w:type="spellStart"/>
      <w:r w:rsidRPr="00C05A62">
        <w:rPr>
          <w:rFonts w:ascii="Calibri" w:hAnsi="Calibri" w:cs="Calibri"/>
          <w:lang w:val="en-US"/>
        </w:rPr>
        <w:t>tomada</w:t>
      </w:r>
      <w:proofErr w:type="spellEnd"/>
      <w:r w:rsidRPr="00C05A62">
        <w:rPr>
          <w:rFonts w:ascii="Calibri" w:hAnsi="Calibri" w:cs="Calibri"/>
          <w:lang w:val="en-US"/>
        </w:rPr>
        <w:t xml:space="preserve"> de </w:t>
      </w:r>
      <w:proofErr w:type="spellStart"/>
      <w:r w:rsidRPr="00C05A62">
        <w:rPr>
          <w:rFonts w:ascii="Calibri" w:hAnsi="Calibri" w:cs="Calibri"/>
          <w:lang w:val="en-US"/>
        </w:rPr>
        <w:t>decisão</w:t>
      </w:r>
      <w:proofErr w:type="spellEnd"/>
      <w:r w:rsidRPr="00C05A62">
        <w:rPr>
          <w:rFonts w:ascii="Calibri" w:hAnsi="Calibri" w:cs="Calibri"/>
          <w:lang w:val="en-US"/>
        </w:rPr>
        <w:t xml:space="preserve"> no </w:t>
      </w:r>
      <w:proofErr w:type="spellStart"/>
      <w:r w:rsidRPr="00C05A62">
        <w:rPr>
          <w:rFonts w:ascii="Calibri" w:hAnsi="Calibri" w:cs="Calibri"/>
          <w:lang w:val="en-US"/>
        </w:rPr>
        <w:t>contexto</w:t>
      </w:r>
      <w:proofErr w:type="spellEnd"/>
      <w:r w:rsidRPr="00C05A62">
        <w:rPr>
          <w:rFonts w:ascii="Calibri" w:hAnsi="Calibri" w:cs="Calibri"/>
          <w:lang w:val="en-US"/>
        </w:rPr>
        <w:t xml:space="preserve"> das </w:t>
      </w:r>
      <w:proofErr w:type="spellStart"/>
      <w:r w:rsidRPr="00C05A62">
        <w:rPr>
          <w:rFonts w:ascii="Calibri" w:hAnsi="Calibri" w:cs="Calibri"/>
          <w:lang w:val="en-US"/>
        </w:rPr>
        <w:t>democracias</w:t>
      </w:r>
      <w:proofErr w:type="spellEnd"/>
      <w:r w:rsidRPr="00C05A62">
        <w:rPr>
          <w:rFonts w:ascii="Calibri" w:hAnsi="Calibri" w:cs="Calibri"/>
          <w:lang w:val="en-US"/>
        </w:rPr>
        <w:t xml:space="preserve"> </w:t>
      </w:r>
      <w:proofErr w:type="spellStart"/>
      <w:r w:rsidRPr="00C05A62">
        <w:rPr>
          <w:rFonts w:ascii="Calibri" w:hAnsi="Calibri" w:cs="Calibri"/>
          <w:lang w:val="en-US"/>
        </w:rPr>
        <w:t>participativas</w:t>
      </w:r>
      <w:proofErr w:type="spellEnd"/>
      <w:r w:rsidRPr="00C05A62">
        <w:rPr>
          <w:rFonts w:ascii="Calibri" w:hAnsi="Calibri" w:cs="Calibri"/>
          <w:lang w:val="en-US"/>
        </w:rPr>
        <w:t xml:space="preserve">. </w:t>
      </w:r>
      <w:proofErr w:type="spellStart"/>
      <w:r w:rsidRPr="00C05A62">
        <w:rPr>
          <w:rFonts w:ascii="Calibri" w:hAnsi="Calibri" w:cs="Calibri"/>
          <w:lang w:val="en-US"/>
        </w:rPr>
        <w:t>Também</w:t>
      </w:r>
      <w:proofErr w:type="spellEnd"/>
      <w:r w:rsidRPr="00C05A62">
        <w:rPr>
          <w:rFonts w:ascii="Calibri" w:hAnsi="Calibri" w:cs="Calibri"/>
          <w:lang w:val="en-US"/>
        </w:rPr>
        <w:t xml:space="preserve"> </w:t>
      </w:r>
      <w:proofErr w:type="spellStart"/>
      <w:r w:rsidRPr="00C05A62">
        <w:rPr>
          <w:rFonts w:ascii="Calibri" w:hAnsi="Calibri" w:cs="Calibri"/>
          <w:lang w:val="en-US"/>
        </w:rPr>
        <w:t>explora</w:t>
      </w:r>
      <w:proofErr w:type="spellEnd"/>
      <w:r w:rsidRPr="00C05A62">
        <w:rPr>
          <w:rFonts w:ascii="Calibri" w:hAnsi="Calibri" w:cs="Calibri"/>
          <w:lang w:val="en-US"/>
        </w:rPr>
        <w:t xml:space="preserve"> as </w:t>
      </w:r>
      <w:proofErr w:type="spellStart"/>
      <w:r w:rsidRPr="00C05A62">
        <w:rPr>
          <w:rFonts w:ascii="Calibri" w:hAnsi="Calibri" w:cs="Calibri"/>
          <w:lang w:val="en-US"/>
        </w:rPr>
        <w:t>interações</w:t>
      </w:r>
      <w:proofErr w:type="spellEnd"/>
      <w:r w:rsidRPr="00C05A62">
        <w:rPr>
          <w:rFonts w:ascii="Calibri" w:hAnsi="Calibri" w:cs="Calibri"/>
          <w:lang w:val="en-US"/>
        </w:rPr>
        <w:t xml:space="preserve"> entre </w:t>
      </w:r>
      <w:proofErr w:type="spellStart"/>
      <w:r w:rsidRPr="00C05A62">
        <w:rPr>
          <w:rFonts w:ascii="Calibri" w:hAnsi="Calibri" w:cs="Calibri"/>
          <w:lang w:val="en-US"/>
        </w:rPr>
        <w:t>cidadãos</w:t>
      </w:r>
      <w:proofErr w:type="spellEnd"/>
      <w:r w:rsidRPr="00C05A62">
        <w:rPr>
          <w:rFonts w:ascii="Calibri" w:hAnsi="Calibri" w:cs="Calibri"/>
          <w:lang w:val="en-US"/>
        </w:rPr>
        <w:t xml:space="preserve"> </w:t>
      </w:r>
      <w:proofErr w:type="spellStart"/>
      <w:r w:rsidRPr="00C05A62">
        <w:rPr>
          <w:rFonts w:ascii="Calibri" w:hAnsi="Calibri" w:cs="Calibri"/>
          <w:lang w:val="en-US"/>
        </w:rPr>
        <w:t>idosos</w:t>
      </w:r>
      <w:proofErr w:type="spellEnd"/>
      <w:r w:rsidRPr="00C05A62">
        <w:rPr>
          <w:rFonts w:ascii="Calibri" w:hAnsi="Calibri" w:cs="Calibri"/>
          <w:lang w:val="en-US"/>
        </w:rPr>
        <w:t xml:space="preserve">, </w:t>
      </w:r>
      <w:proofErr w:type="spellStart"/>
      <w:r w:rsidRPr="00C05A62">
        <w:rPr>
          <w:rFonts w:ascii="Calibri" w:hAnsi="Calibri" w:cs="Calibri"/>
          <w:lang w:val="en-US"/>
        </w:rPr>
        <w:t>formuladores</w:t>
      </w:r>
      <w:proofErr w:type="spellEnd"/>
      <w:r w:rsidRPr="00C05A62">
        <w:rPr>
          <w:rFonts w:ascii="Calibri" w:hAnsi="Calibri" w:cs="Calibri"/>
          <w:lang w:val="en-US"/>
        </w:rPr>
        <w:t xml:space="preserve"> de </w:t>
      </w:r>
      <w:proofErr w:type="spellStart"/>
      <w:r w:rsidRPr="00C05A62">
        <w:rPr>
          <w:rFonts w:ascii="Calibri" w:hAnsi="Calibri" w:cs="Calibri"/>
          <w:lang w:val="en-US"/>
        </w:rPr>
        <w:t>políticas</w:t>
      </w:r>
      <w:proofErr w:type="spellEnd"/>
      <w:r w:rsidRPr="00C05A62">
        <w:rPr>
          <w:rFonts w:ascii="Calibri" w:hAnsi="Calibri" w:cs="Calibri"/>
          <w:lang w:val="en-US"/>
        </w:rPr>
        <w:t xml:space="preserve"> e a </w:t>
      </w:r>
      <w:proofErr w:type="spellStart"/>
      <w:r w:rsidRPr="00C05A62">
        <w:rPr>
          <w:rFonts w:ascii="Calibri" w:hAnsi="Calibri" w:cs="Calibri"/>
          <w:lang w:val="en-US"/>
        </w:rPr>
        <w:t>sociedade</w:t>
      </w:r>
      <w:proofErr w:type="spellEnd"/>
      <w:r w:rsidRPr="00C05A62">
        <w:rPr>
          <w:rFonts w:ascii="Calibri" w:hAnsi="Calibri" w:cs="Calibri"/>
          <w:lang w:val="en-US"/>
        </w:rPr>
        <w:t xml:space="preserve"> civil, </w:t>
      </w:r>
      <w:proofErr w:type="spellStart"/>
      <w:r w:rsidRPr="00C05A62">
        <w:rPr>
          <w:rFonts w:ascii="Calibri" w:hAnsi="Calibri" w:cs="Calibri"/>
          <w:lang w:val="en-US"/>
        </w:rPr>
        <w:t>analisando</w:t>
      </w:r>
      <w:proofErr w:type="spellEnd"/>
      <w:r w:rsidRPr="00C05A62">
        <w:rPr>
          <w:rFonts w:ascii="Calibri" w:hAnsi="Calibri" w:cs="Calibri"/>
          <w:lang w:val="en-US"/>
        </w:rPr>
        <w:t xml:space="preserve"> as </w:t>
      </w:r>
      <w:proofErr w:type="spellStart"/>
      <w:r w:rsidRPr="00C05A62">
        <w:rPr>
          <w:rFonts w:ascii="Calibri" w:hAnsi="Calibri" w:cs="Calibri"/>
          <w:lang w:val="en-US"/>
        </w:rPr>
        <w:t>condições</w:t>
      </w:r>
      <w:proofErr w:type="spellEnd"/>
      <w:r w:rsidRPr="00C05A62">
        <w:rPr>
          <w:rFonts w:ascii="Calibri" w:hAnsi="Calibri" w:cs="Calibri"/>
          <w:lang w:val="en-US"/>
        </w:rPr>
        <w:t xml:space="preserve"> que </w:t>
      </w:r>
      <w:proofErr w:type="spellStart"/>
      <w:r w:rsidRPr="00C05A62">
        <w:rPr>
          <w:rFonts w:ascii="Calibri" w:hAnsi="Calibri" w:cs="Calibri"/>
          <w:lang w:val="en-US"/>
        </w:rPr>
        <w:t>permitem</w:t>
      </w:r>
      <w:proofErr w:type="spellEnd"/>
      <w:r w:rsidRPr="00C05A62">
        <w:rPr>
          <w:rFonts w:ascii="Calibri" w:hAnsi="Calibri" w:cs="Calibri"/>
          <w:lang w:val="en-US"/>
        </w:rPr>
        <w:t xml:space="preserve"> a </w:t>
      </w:r>
      <w:proofErr w:type="spellStart"/>
      <w:r w:rsidRPr="00C05A62">
        <w:rPr>
          <w:rFonts w:ascii="Calibri" w:hAnsi="Calibri" w:cs="Calibri"/>
          <w:lang w:val="en-US"/>
        </w:rPr>
        <w:t>governança</w:t>
      </w:r>
      <w:proofErr w:type="spellEnd"/>
      <w:r w:rsidRPr="00C05A62">
        <w:rPr>
          <w:rFonts w:ascii="Calibri" w:hAnsi="Calibri" w:cs="Calibri"/>
          <w:lang w:val="en-US"/>
        </w:rPr>
        <w:t xml:space="preserve"> </w:t>
      </w:r>
      <w:proofErr w:type="spellStart"/>
      <w:r w:rsidRPr="00C05A62">
        <w:rPr>
          <w:rFonts w:ascii="Calibri" w:hAnsi="Calibri" w:cs="Calibri"/>
          <w:lang w:val="en-US"/>
        </w:rPr>
        <w:t>participativa</w:t>
      </w:r>
      <w:proofErr w:type="spellEnd"/>
      <w:r w:rsidRPr="00C05A62">
        <w:rPr>
          <w:rFonts w:ascii="Calibri" w:hAnsi="Calibri" w:cs="Calibri"/>
          <w:lang w:val="en-US"/>
        </w:rPr>
        <w:t xml:space="preserve"> e o </w:t>
      </w:r>
      <w:proofErr w:type="spellStart"/>
      <w:r w:rsidRPr="00C05A62">
        <w:rPr>
          <w:rFonts w:ascii="Calibri" w:hAnsi="Calibri" w:cs="Calibri"/>
          <w:lang w:val="en-US"/>
        </w:rPr>
        <w:t>papel</w:t>
      </w:r>
      <w:proofErr w:type="spellEnd"/>
      <w:r w:rsidRPr="00C05A62">
        <w:rPr>
          <w:rFonts w:ascii="Calibri" w:hAnsi="Calibri" w:cs="Calibri"/>
          <w:lang w:val="en-US"/>
        </w:rPr>
        <w:t xml:space="preserve"> das </w:t>
      </w:r>
      <w:proofErr w:type="spellStart"/>
      <w:r w:rsidRPr="00C05A62">
        <w:rPr>
          <w:rFonts w:ascii="Calibri" w:hAnsi="Calibri" w:cs="Calibri"/>
          <w:lang w:val="en-US"/>
        </w:rPr>
        <w:t>principais</w:t>
      </w:r>
      <w:proofErr w:type="spellEnd"/>
      <w:r w:rsidRPr="00C05A62">
        <w:rPr>
          <w:rFonts w:ascii="Calibri" w:hAnsi="Calibri" w:cs="Calibri"/>
          <w:lang w:val="en-US"/>
        </w:rPr>
        <w:t xml:space="preserve"> partes </w:t>
      </w:r>
      <w:proofErr w:type="spellStart"/>
      <w:r w:rsidRPr="00C05A62">
        <w:rPr>
          <w:rFonts w:ascii="Calibri" w:hAnsi="Calibri" w:cs="Calibri"/>
          <w:lang w:val="en-US"/>
        </w:rPr>
        <w:t>interessadas</w:t>
      </w:r>
      <w:proofErr w:type="spellEnd"/>
      <w:r w:rsidRPr="00C05A62">
        <w:rPr>
          <w:rFonts w:ascii="Calibri" w:hAnsi="Calibri" w:cs="Calibri"/>
          <w:lang w:val="en-US"/>
        </w:rPr>
        <w:t xml:space="preserve">, </w:t>
      </w:r>
      <w:proofErr w:type="spellStart"/>
      <w:r w:rsidRPr="00C05A62">
        <w:rPr>
          <w:rFonts w:ascii="Calibri" w:hAnsi="Calibri" w:cs="Calibri"/>
          <w:lang w:val="en-US"/>
        </w:rPr>
        <w:t>incluindo</w:t>
      </w:r>
      <w:proofErr w:type="spellEnd"/>
      <w:r w:rsidRPr="00C05A62">
        <w:rPr>
          <w:rFonts w:ascii="Calibri" w:hAnsi="Calibri" w:cs="Calibri"/>
          <w:lang w:val="en-US"/>
        </w:rPr>
        <w:t xml:space="preserve"> </w:t>
      </w:r>
      <w:proofErr w:type="spellStart"/>
      <w:r w:rsidRPr="00C05A62">
        <w:rPr>
          <w:rFonts w:ascii="Calibri" w:hAnsi="Calibri" w:cs="Calibri"/>
          <w:lang w:val="en-US"/>
        </w:rPr>
        <w:t>organizações</w:t>
      </w:r>
      <w:proofErr w:type="spellEnd"/>
      <w:r w:rsidRPr="00C05A62">
        <w:rPr>
          <w:rFonts w:ascii="Calibri" w:hAnsi="Calibri" w:cs="Calibri"/>
          <w:lang w:val="en-US"/>
        </w:rPr>
        <w:t xml:space="preserve"> </w:t>
      </w:r>
      <w:proofErr w:type="spellStart"/>
      <w:r w:rsidRPr="00C05A62">
        <w:rPr>
          <w:rFonts w:ascii="Calibri" w:hAnsi="Calibri" w:cs="Calibri"/>
          <w:lang w:val="en-US"/>
        </w:rPr>
        <w:t>comunitárias</w:t>
      </w:r>
      <w:proofErr w:type="spellEnd"/>
      <w:r w:rsidRPr="00C05A62">
        <w:rPr>
          <w:rFonts w:ascii="Calibri" w:hAnsi="Calibri" w:cs="Calibri"/>
          <w:lang w:val="en-US"/>
        </w:rPr>
        <w:t>.</w:t>
      </w:r>
    </w:p>
    <w:p w14:paraId="45568E2B" w14:textId="77777777" w:rsidR="009D608F" w:rsidRPr="00C05A62" w:rsidRDefault="009D608F" w:rsidP="009D608F">
      <w:pPr>
        <w:spacing w:before="0" w:after="0" w:line="360" w:lineRule="auto"/>
        <w:jc w:val="both"/>
        <w:rPr>
          <w:rFonts w:ascii="Calibri" w:hAnsi="Calibri" w:cs="Calibri"/>
          <w:lang w:val="en-US"/>
        </w:rPr>
      </w:pPr>
      <w:r w:rsidRPr="00C05A62">
        <w:rPr>
          <w:rFonts w:ascii="Calibri" w:hAnsi="Calibri" w:cs="Calibri"/>
          <w:lang w:val="en-US"/>
        </w:rPr>
        <w:t xml:space="preserve">The article examines Citizen Design Workshops (CDW), first implemented in the eastern region of France, and later expanded to other cities, some of which are engaged in the WHO’s Age-Friendly Cities initiative. The CDW methodology repositions older individuals in local decision-making processes, recognizing their diverse experiences and needs. </w:t>
      </w:r>
    </w:p>
    <w:p w14:paraId="2498E189" w14:textId="77777777" w:rsidR="009D608F" w:rsidRPr="00C05A62" w:rsidRDefault="009D608F" w:rsidP="009D608F">
      <w:pPr>
        <w:spacing w:before="0" w:after="0" w:line="360" w:lineRule="auto"/>
        <w:jc w:val="both"/>
        <w:rPr>
          <w:rFonts w:ascii="Calibri" w:hAnsi="Calibri" w:cs="Calibri"/>
          <w:lang w:val="en-US"/>
        </w:rPr>
      </w:pPr>
      <w:r w:rsidRPr="00C05A62">
        <w:rPr>
          <w:rFonts w:ascii="Calibri" w:hAnsi="Calibri" w:cs="Calibri"/>
          <w:lang w:val="en-US"/>
        </w:rPr>
        <w:t>Beyond aging-related issues, this research considers how CDW methodologies can address broader issues on the role researchers in inclusive research and their potential contribution to social inclusion. The approach specifically targets specific groups often excluded from local decision-making.</w:t>
      </w:r>
    </w:p>
    <w:p w14:paraId="18111D6A" w14:textId="77777777" w:rsidR="009D608F" w:rsidRPr="00C05A62" w:rsidRDefault="009D608F" w:rsidP="009D608F">
      <w:pPr>
        <w:spacing w:line="360" w:lineRule="auto"/>
        <w:jc w:val="both"/>
        <w:rPr>
          <w:rFonts w:ascii="Calibri" w:hAnsi="Calibri" w:cs="Calibri"/>
          <w:lang w:val="en-US"/>
        </w:rPr>
      </w:pPr>
      <w:proofErr w:type="spellStart"/>
      <w:r w:rsidRPr="00C05A62">
        <w:rPr>
          <w:rFonts w:ascii="Calibri" w:hAnsi="Calibri" w:cs="Calibri"/>
          <w:lang w:val="en-US"/>
        </w:rPr>
        <w:t>Além</w:t>
      </w:r>
      <w:proofErr w:type="spellEnd"/>
      <w:r w:rsidRPr="00C05A62">
        <w:rPr>
          <w:rFonts w:ascii="Calibri" w:hAnsi="Calibri" w:cs="Calibri"/>
          <w:lang w:val="en-US"/>
        </w:rPr>
        <w:t xml:space="preserve"> das </w:t>
      </w:r>
      <w:proofErr w:type="spellStart"/>
      <w:r w:rsidRPr="00C05A62">
        <w:rPr>
          <w:rFonts w:ascii="Calibri" w:hAnsi="Calibri" w:cs="Calibri"/>
          <w:lang w:val="en-US"/>
        </w:rPr>
        <w:t>questões</w:t>
      </w:r>
      <w:proofErr w:type="spellEnd"/>
      <w:r w:rsidRPr="00C05A62">
        <w:rPr>
          <w:rFonts w:ascii="Calibri" w:hAnsi="Calibri" w:cs="Calibri"/>
          <w:lang w:val="en-US"/>
        </w:rPr>
        <w:t xml:space="preserve"> </w:t>
      </w:r>
      <w:proofErr w:type="spellStart"/>
      <w:r w:rsidRPr="00C05A62">
        <w:rPr>
          <w:rFonts w:ascii="Calibri" w:hAnsi="Calibri" w:cs="Calibri"/>
          <w:lang w:val="en-US"/>
        </w:rPr>
        <w:t>relacionadas</w:t>
      </w:r>
      <w:proofErr w:type="spellEnd"/>
      <w:r w:rsidRPr="00C05A62">
        <w:rPr>
          <w:rFonts w:ascii="Calibri" w:hAnsi="Calibri" w:cs="Calibri"/>
          <w:lang w:val="en-US"/>
        </w:rPr>
        <w:t xml:space="preserve"> </w:t>
      </w:r>
      <w:proofErr w:type="spellStart"/>
      <w:r w:rsidRPr="00C05A62">
        <w:rPr>
          <w:rFonts w:ascii="Calibri" w:hAnsi="Calibri" w:cs="Calibri"/>
          <w:lang w:val="en-US"/>
        </w:rPr>
        <w:t>ao</w:t>
      </w:r>
      <w:proofErr w:type="spellEnd"/>
      <w:r w:rsidRPr="00C05A62">
        <w:rPr>
          <w:rFonts w:ascii="Calibri" w:hAnsi="Calibri" w:cs="Calibri"/>
          <w:lang w:val="en-US"/>
        </w:rPr>
        <w:t xml:space="preserve"> </w:t>
      </w:r>
      <w:proofErr w:type="spellStart"/>
      <w:r w:rsidRPr="00C05A62">
        <w:rPr>
          <w:rFonts w:ascii="Calibri" w:hAnsi="Calibri" w:cs="Calibri"/>
          <w:lang w:val="en-US"/>
        </w:rPr>
        <w:t>envelhecimento</w:t>
      </w:r>
      <w:proofErr w:type="spellEnd"/>
      <w:r w:rsidRPr="00C05A62">
        <w:rPr>
          <w:rFonts w:ascii="Calibri" w:hAnsi="Calibri" w:cs="Calibri"/>
          <w:lang w:val="en-US"/>
        </w:rPr>
        <w:t xml:space="preserve">, </w:t>
      </w:r>
      <w:proofErr w:type="spellStart"/>
      <w:r w:rsidRPr="00C05A62">
        <w:rPr>
          <w:rFonts w:ascii="Calibri" w:hAnsi="Calibri" w:cs="Calibri"/>
          <w:lang w:val="en-US"/>
        </w:rPr>
        <w:t>esta</w:t>
      </w:r>
      <w:proofErr w:type="spellEnd"/>
      <w:r w:rsidRPr="00C05A62">
        <w:rPr>
          <w:rFonts w:ascii="Calibri" w:hAnsi="Calibri" w:cs="Calibri"/>
          <w:lang w:val="en-US"/>
        </w:rPr>
        <w:t xml:space="preserve"> </w:t>
      </w:r>
      <w:proofErr w:type="spellStart"/>
      <w:r w:rsidRPr="00C05A62">
        <w:rPr>
          <w:rFonts w:ascii="Calibri" w:hAnsi="Calibri" w:cs="Calibri"/>
          <w:lang w:val="en-US"/>
        </w:rPr>
        <w:t>pesquisa</w:t>
      </w:r>
      <w:proofErr w:type="spellEnd"/>
      <w:r w:rsidRPr="00C05A62">
        <w:rPr>
          <w:rFonts w:ascii="Calibri" w:hAnsi="Calibri" w:cs="Calibri"/>
          <w:lang w:val="en-US"/>
        </w:rPr>
        <w:t xml:space="preserve"> </w:t>
      </w:r>
      <w:proofErr w:type="spellStart"/>
      <w:r w:rsidRPr="00C05A62">
        <w:rPr>
          <w:rFonts w:ascii="Calibri" w:hAnsi="Calibri" w:cs="Calibri"/>
          <w:lang w:val="en-US"/>
        </w:rPr>
        <w:t>considera</w:t>
      </w:r>
      <w:proofErr w:type="spellEnd"/>
      <w:r w:rsidRPr="00C05A62">
        <w:rPr>
          <w:rFonts w:ascii="Calibri" w:hAnsi="Calibri" w:cs="Calibri"/>
          <w:lang w:val="en-US"/>
        </w:rPr>
        <w:t xml:space="preserve"> </w:t>
      </w:r>
      <w:proofErr w:type="spellStart"/>
      <w:r w:rsidRPr="00C05A62">
        <w:rPr>
          <w:rFonts w:ascii="Calibri" w:hAnsi="Calibri" w:cs="Calibri"/>
          <w:lang w:val="en-US"/>
        </w:rPr>
        <w:t>como</w:t>
      </w:r>
      <w:proofErr w:type="spellEnd"/>
      <w:r w:rsidRPr="00C05A62">
        <w:rPr>
          <w:rFonts w:ascii="Calibri" w:hAnsi="Calibri" w:cs="Calibri"/>
          <w:lang w:val="en-US"/>
        </w:rPr>
        <w:t xml:space="preserve"> as </w:t>
      </w:r>
      <w:proofErr w:type="spellStart"/>
      <w:r w:rsidRPr="00C05A62">
        <w:rPr>
          <w:rFonts w:ascii="Calibri" w:hAnsi="Calibri" w:cs="Calibri"/>
          <w:lang w:val="en-US"/>
        </w:rPr>
        <w:t>metodologias</w:t>
      </w:r>
      <w:proofErr w:type="spellEnd"/>
      <w:r w:rsidRPr="00C05A62">
        <w:rPr>
          <w:rFonts w:ascii="Calibri" w:hAnsi="Calibri" w:cs="Calibri"/>
          <w:lang w:val="en-US"/>
        </w:rPr>
        <w:t xml:space="preserve"> de CDW </w:t>
      </w:r>
      <w:proofErr w:type="spellStart"/>
      <w:r w:rsidRPr="00C05A62">
        <w:rPr>
          <w:rFonts w:ascii="Calibri" w:hAnsi="Calibri" w:cs="Calibri"/>
          <w:lang w:val="en-US"/>
        </w:rPr>
        <w:t>podem</w:t>
      </w:r>
      <w:proofErr w:type="spellEnd"/>
      <w:r w:rsidRPr="00C05A62">
        <w:rPr>
          <w:rFonts w:ascii="Calibri" w:hAnsi="Calibri" w:cs="Calibri"/>
          <w:lang w:val="en-US"/>
        </w:rPr>
        <w:t xml:space="preserve"> </w:t>
      </w:r>
      <w:proofErr w:type="spellStart"/>
      <w:r w:rsidRPr="00C05A62">
        <w:rPr>
          <w:rFonts w:ascii="Calibri" w:hAnsi="Calibri" w:cs="Calibri"/>
          <w:lang w:val="en-US"/>
        </w:rPr>
        <w:t>abordar</w:t>
      </w:r>
      <w:proofErr w:type="spellEnd"/>
      <w:r w:rsidRPr="00C05A62">
        <w:rPr>
          <w:rFonts w:ascii="Calibri" w:hAnsi="Calibri" w:cs="Calibri"/>
          <w:lang w:val="en-US"/>
        </w:rPr>
        <w:t xml:space="preserve"> </w:t>
      </w:r>
      <w:proofErr w:type="spellStart"/>
      <w:r w:rsidRPr="00C05A62">
        <w:rPr>
          <w:rFonts w:ascii="Calibri" w:hAnsi="Calibri" w:cs="Calibri"/>
          <w:lang w:val="en-US"/>
        </w:rPr>
        <w:t>questões</w:t>
      </w:r>
      <w:proofErr w:type="spellEnd"/>
      <w:r w:rsidRPr="00C05A62">
        <w:rPr>
          <w:rFonts w:ascii="Calibri" w:hAnsi="Calibri" w:cs="Calibri"/>
          <w:lang w:val="en-US"/>
        </w:rPr>
        <w:t xml:space="preserve"> </w:t>
      </w:r>
      <w:proofErr w:type="spellStart"/>
      <w:r w:rsidRPr="00C05A62">
        <w:rPr>
          <w:rFonts w:ascii="Calibri" w:hAnsi="Calibri" w:cs="Calibri"/>
          <w:lang w:val="en-US"/>
        </w:rPr>
        <w:t>mais</w:t>
      </w:r>
      <w:proofErr w:type="spellEnd"/>
      <w:r w:rsidRPr="00C05A62">
        <w:rPr>
          <w:rFonts w:ascii="Calibri" w:hAnsi="Calibri" w:cs="Calibri"/>
          <w:lang w:val="en-US"/>
        </w:rPr>
        <w:t xml:space="preserve"> </w:t>
      </w:r>
      <w:proofErr w:type="spellStart"/>
      <w:r w:rsidRPr="00C05A62">
        <w:rPr>
          <w:rFonts w:ascii="Calibri" w:hAnsi="Calibri" w:cs="Calibri"/>
          <w:lang w:val="en-US"/>
        </w:rPr>
        <w:t>amplas</w:t>
      </w:r>
      <w:proofErr w:type="spellEnd"/>
      <w:r w:rsidRPr="00C05A62">
        <w:rPr>
          <w:rFonts w:ascii="Calibri" w:hAnsi="Calibri" w:cs="Calibri"/>
          <w:lang w:val="en-US"/>
        </w:rPr>
        <w:t xml:space="preserve"> </w:t>
      </w:r>
      <w:proofErr w:type="spellStart"/>
      <w:r w:rsidRPr="00C05A62">
        <w:rPr>
          <w:rFonts w:ascii="Calibri" w:hAnsi="Calibri" w:cs="Calibri"/>
          <w:lang w:val="en-US"/>
        </w:rPr>
        <w:t>sobre</w:t>
      </w:r>
      <w:proofErr w:type="spellEnd"/>
      <w:r w:rsidRPr="00C05A62">
        <w:rPr>
          <w:rFonts w:ascii="Calibri" w:hAnsi="Calibri" w:cs="Calibri"/>
          <w:lang w:val="en-US"/>
        </w:rPr>
        <w:t xml:space="preserve"> o </w:t>
      </w:r>
      <w:proofErr w:type="spellStart"/>
      <w:r w:rsidRPr="00C05A62">
        <w:rPr>
          <w:rFonts w:ascii="Calibri" w:hAnsi="Calibri" w:cs="Calibri"/>
          <w:lang w:val="en-US"/>
        </w:rPr>
        <w:t>papel</w:t>
      </w:r>
      <w:proofErr w:type="spellEnd"/>
      <w:r w:rsidRPr="00C05A62">
        <w:rPr>
          <w:rFonts w:ascii="Calibri" w:hAnsi="Calibri" w:cs="Calibri"/>
          <w:lang w:val="en-US"/>
        </w:rPr>
        <w:t xml:space="preserve"> dos </w:t>
      </w:r>
      <w:proofErr w:type="spellStart"/>
      <w:r w:rsidRPr="00C05A62">
        <w:rPr>
          <w:rFonts w:ascii="Calibri" w:hAnsi="Calibri" w:cs="Calibri"/>
          <w:lang w:val="en-US"/>
        </w:rPr>
        <w:t>pesquisadores</w:t>
      </w:r>
      <w:proofErr w:type="spellEnd"/>
      <w:r w:rsidRPr="00C05A62">
        <w:rPr>
          <w:rFonts w:ascii="Calibri" w:hAnsi="Calibri" w:cs="Calibri"/>
          <w:lang w:val="en-US"/>
        </w:rPr>
        <w:t xml:space="preserve"> </w:t>
      </w:r>
      <w:proofErr w:type="spellStart"/>
      <w:r w:rsidRPr="00C05A62">
        <w:rPr>
          <w:rFonts w:ascii="Calibri" w:hAnsi="Calibri" w:cs="Calibri"/>
          <w:lang w:val="en-US"/>
        </w:rPr>
        <w:t>em</w:t>
      </w:r>
      <w:proofErr w:type="spellEnd"/>
      <w:r w:rsidRPr="00C05A62">
        <w:rPr>
          <w:rFonts w:ascii="Calibri" w:hAnsi="Calibri" w:cs="Calibri"/>
          <w:lang w:val="en-US"/>
        </w:rPr>
        <w:t xml:space="preserve"> </w:t>
      </w:r>
      <w:proofErr w:type="spellStart"/>
      <w:r w:rsidRPr="00C05A62">
        <w:rPr>
          <w:rFonts w:ascii="Calibri" w:hAnsi="Calibri" w:cs="Calibri"/>
          <w:lang w:val="en-US"/>
        </w:rPr>
        <w:t>pesquisas</w:t>
      </w:r>
      <w:proofErr w:type="spellEnd"/>
      <w:r w:rsidRPr="00C05A62">
        <w:rPr>
          <w:rFonts w:ascii="Calibri" w:hAnsi="Calibri" w:cs="Calibri"/>
          <w:lang w:val="en-US"/>
        </w:rPr>
        <w:t xml:space="preserve"> </w:t>
      </w:r>
      <w:proofErr w:type="spellStart"/>
      <w:r w:rsidRPr="00C05A62">
        <w:rPr>
          <w:rFonts w:ascii="Calibri" w:hAnsi="Calibri" w:cs="Calibri"/>
          <w:lang w:val="en-US"/>
        </w:rPr>
        <w:t>inclusivas</w:t>
      </w:r>
      <w:proofErr w:type="spellEnd"/>
      <w:r w:rsidRPr="00C05A62">
        <w:rPr>
          <w:rFonts w:ascii="Calibri" w:hAnsi="Calibri" w:cs="Calibri"/>
          <w:lang w:val="en-US"/>
        </w:rPr>
        <w:t xml:space="preserve"> e </w:t>
      </w:r>
      <w:proofErr w:type="spellStart"/>
      <w:r w:rsidRPr="00C05A62">
        <w:rPr>
          <w:rFonts w:ascii="Calibri" w:hAnsi="Calibri" w:cs="Calibri"/>
          <w:lang w:val="en-US"/>
        </w:rPr>
        <w:t>sua</w:t>
      </w:r>
      <w:proofErr w:type="spellEnd"/>
      <w:r w:rsidRPr="00C05A62">
        <w:rPr>
          <w:rFonts w:ascii="Calibri" w:hAnsi="Calibri" w:cs="Calibri"/>
          <w:lang w:val="en-US"/>
        </w:rPr>
        <w:t xml:space="preserve"> </w:t>
      </w:r>
      <w:proofErr w:type="spellStart"/>
      <w:r w:rsidRPr="00C05A62">
        <w:rPr>
          <w:rFonts w:ascii="Calibri" w:hAnsi="Calibri" w:cs="Calibri"/>
          <w:lang w:val="en-US"/>
        </w:rPr>
        <w:t>potencial</w:t>
      </w:r>
      <w:proofErr w:type="spellEnd"/>
      <w:r w:rsidRPr="00C05A62">
        <w:rPr>
          <w:rFonts w:ascii="Calibri" w:hAnsi="Calibri" w:cs="Calibri"/>
          <w:lang w:val="en-US"/>
        </w:rPr>
        <w:t xml:space="preserve"> </w:t>
      </w:r>
      <w:proofErr w:type="spellStart"/>
      <w:r w:rsidRPr="00C05A62">
        <w:rPr>
          <w:rFonts w:ascii="Calibri" w:hAnsi="Calibri" w:cs="Calibri"/>
          <w:lang w:val="en-US"/>
        </w:rPr>
        <w:t>contribuição</w:t>
      </w:r>
      <w:proofErr w:type="spellEnd"/>
      <w:r w:rsidRPr="00C05A62">
        <w:rPr>
          <w:rFonts w:ascii="Calibri" w:hAnsi="Calibri" w:cs="Calibri"/>
          <w:lang w:val="en-US"/>
        </w:rPr>
        <w:t xml:space="preserve"> para </w:t>
      </w:r>
      <w:proofErr w:type="gramStart"/>
      <w:r w:rsidRPr="00C05A62">
        <w:rPr>
          <w:rFonts w:ascii="Calibri" w:hAnsi="Calibri" w:cs="Calibri"/>
          <w:lang w:val="en-US"/>
        </w:rPr>
        <w:t>a</w:t>
      </w:r>
      <w:proofErr w:type="gramEnd"/>
      <w:r w:rsidRPr="00C05A62">
        <w:rPr>
          <w:rFonts w:ascii="Calibri" w:hAnsi="Calibri" w:cs="Calibri"/>
          <w:lang w:val="en-US"/>
        </w:rPr>
        <w:t xml:space="preserve"> </w:t>
      </w:r>
      <w:proofErr w:type="spellStart"/>
      <w:r w:rsidRPr="00C05A62">
        <w:rPr>
          <w:rFonts w:ascii="Calibri" w:hAnsi="Calibri" w:cs="Calibri"/>
          <w:lang w:val="en-US"/>
        </w:rPr>
        <w:t>inclusão</w:t>
      </w:r>
      <w:proofErr w:type="spellEnd"/>
      <w:r w:rsidRPr="00C05A62">
        <w:rPr>
          <w:rFonts w:ascii="Calibri" w:hAnsi="Calibri" w:cs="Calibri"/>
          <w:lang w:val="en-US"/>
        </w:rPr>
        <w:t xml:space="preserve"> social. </w:t>
      </w:r>
      <w:proofErr w:type="gramStart"/>
      <w:r w:rsidRPr="00C05A62">
        <w:rPr>
          <w:rFonts w:ascii="Calibri" w:hAnsi="Calibri" w:cs="Calibri"/>
          <w:lang w:val="en-US"/>
        </w:rPr>
        <w:t>A</w:t>
      </w:r>
      <w:proofErr w:type="gramEnd"/>
      <w:r w:rsidRPr="00C05A62">
        <w:rPr>
          <w:rFonts w:ascii="Calibri" w:hAnsi="Calibri" w:cs="Calibri"/>
          <w:lang w:val="en-US"/>
        </w:rPr>
        <w:t xml:space="preserve"> </w:t>
      </w:r>
      <w:proofErr w:type="spellStart"/>
      <w:r w:rsidRPr="00C05A62">
        <w:rPr>
          <w:rFonts w:ascii="Calibri" w:hAnsi="Calibri" w:cs="Calibri"/>
          <w:lang w:val="en-US"/>
        </w:rPr>
        <w:t>abordagem</w:t>
      </w:r>
      <w:proofErr w:type="spellEnd"/>
      <w:r w:rsidRPr="00C05A62">
        <w:rPr>
          <w:rFonts w:ascii="Calibri" w:hAnsi="Calibri" w:cs="Calibri"/>
          <w:lang w:val="en-US"/>
        </w:rPr>
        <w:t xml:space="preserve"> visa </w:t>
      </w:r>
      <w:proofErr w:type="spellStart"/>
      <w:r w:rsidRPr="00C05A62">
        <w:rPr>
          <w:rFonts w:ascii="Calibri" w:hAnsi="Calibri" w:cs="Calibri"/>
          <w:lang w:val="en-US"/>
        </w:rPr>
        <w:t>especificamente</w:t>
      </w:r>
      <w:proofErr w:type="spellEnd"/>
      <w:r w:rsidRPr="00C05A62">
        <w:rPr>
          <w:rFonts w:ascii="Calibri" w:hAnsi="Calibri" w:cs="Calibri"/>
          <w:lang w:val="en-US"/>
        </w:rPr>
        <w:t xml:space="preserve"> </w:t>
      </w:r>
      <w:proofErr w:type="spellStart"/>
      <w:r w:rsidRPr="00C05A62">
        <w:rPr>
          <w:rFonts w:ascii="Calibri" w:hAnsi="Calibri" w:cs="Calibri"/>
          <w:lang w:val="en-US"/>
        </w:rPr>
        <w:t>grupos</w:t>
      </w:r>
      <w:proofErr w:type="spellEnd"/>
      <w:r w:rsidRPr="00C05A62">
        <w:rPr>
          <w:rFonts w:ascii="Calibri" w:hAnsi="Calibri" w:cs="Calibri"/>
          <w:lang w:val="en-US"/>
        </w:rPr>
        <w:t xml:space="preserve"> </w:t>
      </w:r>
      <w:proofErr w:type="spellStart"/>
      <w:r w:rsidRPr="00C05A62">
        <w:rPr>
          <w:rFonts w:ascii="Calibri" w:hAnsi="Calibri" w:cs="Calibri"/>
          <w:lang w:val="en-US"/>
        </w:rPr>
        <w:t>específicos</w:t>
      </w:r>
      <w:proofErr w:type="spellEnd"/>
      <w:r w:rsidRPr="00C05A62">
        <w:rPr>
          <w:rFonts w:ascii="Calibri" w:hAnsi="Calibri" w:cs="Calibri"/>
          <w:lang w:val="en-US"/>
        </w:rPr>
        <w:t xml:space="preserve"> </w:t>
      </w:r>
      <w:proofErr w:type="spellStart"/>
      <w:r w:rsidRPr="00C05A62">
        <w:rPr>
          <w:rFonts w:ascii="Calibri" w:hAnsi="Calibri" w:cs="Calibri"/>
          <w:lang w:val="en-US"/>
        </w:rPr>
        <w:t>frequentemente</w:t>
      </w:r>
      <w:proofErr w:type="spellEnd"/>
      <w:r w:rsidRPr="00C05A62">
        <w:rPr>
          <w:rFonts w:ascii="Calibri" w:hAnsi="Calibri" w:cs="Calibri"/>
          <w:lang w:val="en-US"/>
        </w:rPr>
        <w:t xml:space="preserve"> </w:t>
      </w:r>
      <w:proofErr w:type="spellStart"/>
      <w:r w:rsidRPr="00C05A62">
        <w:rPr>
          <w:rFonts w:ascii="Calibri" w:hAnsi="Calibri" w:cs="Calibri"/>
          <w:lang w:val="en-US"/>
        </w:rPr>
        <w:t>excluídos</w:t>
      </w:r>
      <w:proofErr w:type="spellEnd"/>
      <w:r w:rsidRPr="00C05A62">
        <w:rPr>
          <w:rFonts w:ascii="Calibri" w:hAnsi="Calibri" w:cs="Calibri"/>
          <w:lang w:val="en-US"/>
        </w:rPr>
        <w:t xml:space="preserve"> da </w:t>
      </w:r>
      <w:proofErr w:type="spellStart"/>
      <w:r w:rsidRPr="00C05A62">
        <w:rPr>
          <w:rFonts w:ascii="Calibri" w:hAnsi="Calibri" w:cs="Calibri"/>
          <w:lang w:val="en-US"/>
        </w:rPr>
        <w:t>tomada</w:t>
      </w:r>
      <w:proofErr w:type="spellEnd"/>
      <w:r w:rsidRPr="00C05A62">
        <w:rPr>
          <w:rFonts w:ascii="Calibri" w:hAnsi="Calibri" w:cs="Calibri"/>
          <w:lang w:val="en-US"/>
        </w:rPr>
        <w:t xml:space="preserve"> de </w:t>
      </w:r>
      <w:proofErr w:type="spellStart"/>
      <w:r w:rsidRPr="00C05A62">
        <w:rPr>
          <w:rFonts w:ascii="Calibri" w:hAnsi="Calibri" w:cs="Calibri"/>
          <w:lang w:val="en-US"/>
        </w:rPr>
        <w:t>decisões</w:t>
      </w:r>
      <w:proofErr w:type="spellEnd"/>
      <w:r w:rsidRPr="00C05A62">
        <w:rPr>
          <w:rFonts w:ascii="Calibri" w:hAnsi="Calibri" w:cs="Calibri"/>
          <w:lang w:val="en-US"/>
        </w:rPr>
        <w:t xml:space="preserve"> </w:t>
      </w:r>
      <w:proofErr w:type="spellStart"/>
      <w:r w:rsidRPr="00C05A62">
        <w:rPr>
          <w:rFonts w:ascii="Calibri" w:hAnsi="Calibri" w:cs="Calibri"/>
          <w:lang w:val="en-US"/>
        </w:rPr>
        <w:t>locais</w:t>
      </w:r>
      <w:proofErr w:type="spellEnd"/>
      <w:r w:rsidRPr="00C05A62">
        <w:rPr>
          <w:rFonts w:ascii="Calibri" w:hAnsi="Calibri" w:cs="Calibri"/>
          <w:lang w:val="en-US"/>
        </w:rPr>
        <w:t>.</w:t>
      </w:r>
    </w:p>
    <w:p w14:paraId="63A21A69" w14:textId="77777777" w:rsidR="009D608F" w:rsidRDefault="009D608F" w:rsidP="009D608F">
      <w:pPr>
        <w:spacing w:line="360" w:lineRule="auto"/>
        <w:jc w:val="both"/>
        <w:rPr>
          <w:rFonts w:ascii="Calibri" w:hAnsi="Calibri" w:cs="Calibri"/>
          <w:lang w:val="en-US"/>
        </w:rPr>
      </w:pPr>
      <w:proofErr w:type="spellStart"/>
      <w:r w:rsidRPr="00C05A62">
        <w:rPr>
          <w:rFonts w:ascii="Calibri" w:hAnsi="Calibri" w:cs="Calibri"/>
          <w:lang w:val="en-US"/>
        </w:rPr>
        <w:t>Os</w:t>
      </w:r>
      <w:proofErr w:type="spellEnd"/>
      <w:r w:rsidRPr="00C05A62">
        <w:rPr>
          <w:rFonts w:ascii="Calibri" w:hAnsi="Calibri" w:cs="Calibri"/>
          <w:lang w:val="en-US"/>
        </w:rPr>
        <w:t xml:space="preserve"> </w:t>
      </w:r>
      <w:proofErr w:type="spellStart"/>
      <w:r w:rsidRPr="00C05A62">
        <w:rPr>
          <w:rFonts w:ascii="Calibri" w:hAnsi="Calibri" w:cs="Calibri"/>
          <w:lang w:val="en-US"/>
        </w:rPr>
        <w:t>resultados</w:t>
      </w:r>
      <w:proofErr w:type="spellEnd"/>
      <w:r w:rsidRPr="00C05A62">
        <w:rPr>
          <w:rFonts w:ascii="Calibri" w:hAnsi="Calibri" w:cs="Calibri"/>
          <w:lang w:val="en-US"/>
        </w:rPr>
        <w:t xml:space="preserve"> </w:t>
      </w:r>
      <w:proofErr w:type="spellStart"/>
      <w:r w:rsidRPr="00C05A62">
        <w:rPr>
          <w:rFonts w:ascii="Calibri" w:hAnsi="Calibri" w:cs="Calibri"/>
          <w:lang w:val="en-US"/>
        </w:rPr>
        <w:t>sugerem</w:t>
      </w:r>
      <w:proofErr w:type="spellEnd"/>
      <w:r w:rsidRPr="00C05A62">
        <w:rPr>
          <w:rFonts w:ascii="Calibri" w:hAnsi="Calibri" w:cs="Calibri"/>
          <w:lang w:val="en-US"/>
        </w:rPr>
        <w:t xml:space="preserve"> que </w:t>
      </w:r>
      <w:proofErr w:type="spellStart"/>
      <w:r w:rsidRPr="00C05A62">
        <w:rPr>
          <w:rFonts w:ascii="Calibri" w:hAnsi="Calibri" w:cs="Calibri"/>
          <w:lang w:val="en-US"/>
        </w:rPr>
        <w:t>metodologias</w:t>
      </w:r>
      <w:proofErr w:type="spellEnd"/>
      <w:r w:rsidRPr="00C05A62">
        <w:rPr>
          <w:rFonts w:ascii="Calibri" w:hAnsi="Calibri" w:cs="Calibri"/>
          <w:lang w:val="en-US"/>
        </w:rPr>
        <w:t xml:space="preserve"> </w:t>
      </w:r>
      <w:proofErr w:type="spellStart"/>
      <w:r w:rsidRPr="00C05A62">
        <w:rPr>
          <w:rFonts w:ascii="Calibri" w:hAnsi="Calibri" w:cs="Calibri"/>
          <w:lang w:val="en-US"/>
        </w:rPr>
        <w:t>participativas</w:t>
      </w:r>
      <w:proofErr w:type="spellEnd"/>
      <w:r w:rsidRPr="00C05A62">
        <w:rPr>
          <w:rFonts w:ascii="Calibri" w:hAnsi="Calibri" w:cs="Calibri"/>
          <w:lang w:val="en-US"/>
        </w:rPr>
        <w:t xml:space="preserve">, </w:t>
      </w:r>
      <w:proofErr w:type="spellStart"/>
      <w:r w:rsidRPr="00C05A62">
        <w:rPr>
          <w:rFonts w:ascii="Calibri" w:hAnsi="Calibri" w:cs="Calibri"/>
          <w:lang w:val="en-US"/>
        </w:rPr>
        <w:t>inseridas</w:t>
      </w:r>
      <w:proofErr w:type="spellEnd"/>
      <w:r w:rsidRPr="00C05A62">
        <w:rPr>
          <w:rFonts w:ascii="Calibri" w:hAnsi="Calibri" w:cs="Calibri"/>
          <w:lang w:val="en-US"/>
        </w:rPr>
        <w:t xml:space="preserve"> </w:t>
      </w:r>
      <w:proofErr w:type="spellStart"/>
      <w:r w:rsidRPr="00C05A62">
        <w:rPr>
          <w:rFonts w:ascii="Calibri" w:hAnsi="Calibri" w:cs="Calibri"/>
          <w:lang w:val="en-US"/>
        </w:rPr>
        <w:t>na</w:t>
      </w:r>
      <w:proofErr w:type="spellEnd"/>
      <w:r w:rsidRPr="00C05A62">
        <w:rPr>
          <w:rFonts w:ascii="Calibri" w:hAnsi="Calibri" w:cs="Calibri"/>
          <w:lang w:val="en-US"/>
        </w:rPr>
        <w:t xml:space="preserve"> </w:t>
      </w:r>
      <w:proofErr w:type="spellStart"/>
      <w:r w:rsidRPr="00C05A62">
        <w:rPr>
          <w:rFonts w:ascii="Calibri" w:hAnsi="Calibri" w:cs="Calibri"/>
          <w:lang w:val="en-US"/>
        </w:rPr>
        <w:t>engenharia</w:t>
      </w:r>
      <w:proofErr w:type="spellEnd"/>
      <w:r w:rsidRPr="00C05A62">
        <w:rPr>
          <w:rFonts w:ascii="Calibri" w:hAnsi="Calibri" w:cs="Calibri"/>
          <w:lang w:val="en-US"/>
        </w:rPr>
        <w:t xml:space="preserve"> </w:t>
      </w:r>
      <w:proofErr w:type="spellStart"/>
      <w:r w:rsidRPr="00C05A62">
        <w:rPr>
          <w:rFonts w:ascii="Calibri" w:hAnsi="Calibri" w:cs="Calibri"/>
          <w:lang w:val="en-US"/>
        </w:rPr>
        <w:t>gerontológica</w:t>
      </w:r>
      <w:proofErr w:type="spellEnd"/>
      <w:r w:rsidRPr="00C05A62">
        <w:rPr>
          <w:rFonts w:ascii="Calibri" w:hAnsi="Calibri" w:cs="Calibri"/>
          <w:lang w:val="en-US"/>
        </w:rPr>
        <w:t xml:space="preserve">, </w:t>
      </w:r>
      <w:proofErr w:type="spellStart"/>
      <w:r w:rsidRPr="00C05A62">
        <w:rPr>
          <w:rFonts w:ascii="Calibri" w:hAnsi="Calibri" w:cs="Calibri"/>
          <w:lang w:val="en-US"/>
        </w:rPr>
        <w:t>podem</w:t>
      </w:r>
      <w:proofErr w:type="spellEnd"/>
      <w:r w:rsidRPr="00C05A62">
        <w:rPr>
          <w:rFonts w:ascii="Calibri" w:hAnsi="Calibri" w:cs="Calibri"/>
          <w:lang w:val="en-US"/>
        </w:rPr>
        <w:t xml:space="preserve"> </w:t>
      </w:r>
      <w:proofErr w:type="spellStart"/>
      <w:r w:rsidRPr="00C05A62">
        <w:rPr>
          <w:rFonts w:ascii="Calibri" w:hAnsi="Calibri" w:cs="Calibri"/>
          <w:lang w:val="en-US"/>
        </w:rPr>
        <w:t>criar</w:t>
      </w:r>
      <w:proofErr w:type="spellEnd"/>
      <w:r w:rsidRPr="00C05A62">
        <w:rPr>
          <w:rFonts w:ascii="Calibri" w:hAnsi="Calibri" w:cs="Calibri"/>
          <w:lang w:val="en-US"/>
        </w:rPr>
        <w:t xml:space="preserve"> um </w:t>
      </w:r>
      <w:proofErr w:type="spellStart"/>
      <w:r w:rsidRPr="00C05A62">
        <w:rPr>
          <w:rFonts w:ascii="Calibri" w:hAnsi="Calibri" w:cs="Calibri"/>
          <w:lang w:val="en-US"/>
        </w:rPr>
        <w:t>modelo</w:t>
      </w:r>
      <w:proofErr w:type="spellEnd"/>
      <w:r w:rsidRPr="00C05A62">
        <w:rPr>
          <w:rFonts w:ascii="Calibri" w:hAnsi="Calibri" w:cs="Calibri"/>
          <w:lang w:val="en-US"/>
        </w:rPr>
        <w:t xml:space="preserve"> </w:t>
      </w:r>
      <w:proofErr w:type="spellStart"/>
      <w:r w:rsidRPr="00C05A62">
        <w:rPr>
          <w:rFonts w:ascii="Calibri" w:hAnsi="Calibri" w:cs="Calibri"/>
          <w:lang w:val="en-US"/>
        </w:rPr>
        <w:t>mais</w:t>
      </w:r>
      <w:proofErr w:type="spellEnd"/>
      <w:r w:rsidRPr="00C05A62">
        <w:rPr>
          <w:rFonts w:ascii="Calibri" w:hAnsi="Calibri" w:cs="Calibri"/>
          <w:lang w:val="en-US"/>
        </w:rPr>
        <w:t xml:space="preserve"> </w:t>
      </w:r>
      <w:proofErr w:type="spellStart"/>
      <w:r w:rsidRPr="00C05A62">
        <w:rPr>
          <w:rFonts w:ascii="Calibri" w:hAnsi="Calibri" w:cs="Calibri"/>
          <w:lang w:val="en-US"/>
        </w:rPr>
        <w:t>inclusivo</w:t>
      </w:r>
      <w:proofErr w:type="spellEnd"/>
      <w:r w:rsidRPr="00C05A62">
        <w:rPr>
          <w:rFonts w:ascii="Calibri" w:hAnsi="Calibri" w:cs="Calibri"/>
          <w:lang w:val="en-US"/>
        </w:rPr>
        <w:t xml:space="preserve"> e </w:t>
      </w:r>
      <w:proofErr w:type="spellStart"/>
      <w:r w:rsidRPr="00C05A62">
        <w:rPr>
          <w:rFonts w:ascii="Calibri" w:hAnsi="Calibri" w:cs="Calibri"/>
          <w:lang w:val="en-US"/>
        </w:rPr>
        <w:t>dinâmico</w:t>
      </w:r>
      <w:proofErr w:type="spellEnd"/>
      <w:r w:rsidRPr="00C05A62">
        <w:rPr>
          <w:rFonts w:ascii="Calibri" w:hAnsi="Calibri" w:cs="Calibri"/>
          <w:lang w:val="en-US"/>
        </w:rPr>
        <w:t xml:space="preserve"> de </w:t>
      </w:r>
      <w:proofErr w:type="spellStart"/>
      <w:r w:rsidRPr="00C05A62">
        <w:rPr>
          <w:rFonts w:ascii="Calibri" w:hAnsi="Calibri" w:cs="Calibri"/>
          <w:lang w:val="en-US"/>
        </w:rPr>
        <w:t>engajamento</w:t>
      </w:r>
      <w:proofErr w:type="spellEnd"/>
      <w:r w:rsidRPr="00C05A62">
        <w:rPr>
          <w:rFonts w:ascii="Calibri" w:hAnsi="Calibri" w:cs="Calibri"/>
          <w:lang w:val="en-US"/>
        </w:rPr>
        <w:t xml:space="preserve"> </w:t>
      </w:r>
      <w:proofErr w:type="spellStart"/>
      <w:r w:rsidRPr="00C05A62">
        <w:rPr>
          <w:rFonts w:ascii="Calibri" w:hAnsi="Calibri" w:cs="Calibri"/>
          <w:lang w:val="en-US"/>
        </w:rPr>
        <w:t>cívico</w:t>
      </w:r>
      <w:proofErr w:type="spellEnd"/>
      <w:r w:rsidRPr="00C05A62">
        <w:rPr>
          <w:rFonts w:ascii="Calibri" w:hAnsi="Calibri" w:cs="Calibri"/>
          <w:lang w:val="en-US"/>
        </w:rPr>
        <w:t xml:space="preserve"> </w:t>
      </w:r>
      <w:proofErr w:type="spellStart"/>
      <w:r w:rsidRPr="00C05A62">
        <w:rPr>
          <w:rFonts w:ascii="Calibri" w:hAnsi="Calibri" w:cs="Calibri"/>
          <w:lang w:val="en-US"/>
        </w:rPr>
        <w:t>ao</w:t>
      </w:r>
      <w:proofErr w:type="spellEnd"/>
      <w:r w:rsidRPr="00C05A62">
        <w:rPr>
          <w:rFonts w:ascii="Calibri" w:hAnsi="Calibri" w:cs="Calibri"/>
          <w:lang w:val="en-US"/>
        </w:rPr>
        <w:t xml:space="preserve"> </w:t>
      </w:r>
      <w:proofErr w:type="spellStart"/>
      <w:r w:rsidRPr="00C05A62">
        <w:rPr>
          <w:rFonts w:ascii="Calibri" w:hAnsi="Calibri" w:cs="Calibri"/>
          <w:lang w:val="en-US"/>
        </w:rPr>
        <w:t>longo</w:t>
      </w:r>
      <w:proofErr w:type="spellEnd"/>
      <w:r w:rsidRPr="00C05A62">
        <w:rPr>
          <w:rFonts w:ascii="Calibri" w:hAnsi="Calibri" w:cs="Calibri"/>
          <w:lang w:val="en-US"/>
        </w:rPr>
        <w:t xml:space="preserve"> do </w:t>
      </w:r>
      <w:proofErr w:type="spellStart"/>
      <w:r w:rsidRPr="00C05A62">
        <w:rPr>
          <w:rFonts w:ascii="Calibri" w:hAnsi="Calibri" w:cs="Calibri"/>
          <w:lang w:val="en-US"/>
        </w:rPr>
        <w:t>ciclo</w:t>
      </w:r>
      <w:proofErr w:type="spellEnd"/>
      <w:r w:rsidRPr="00C05A62">
        <w:rPr>
          <w:rFonts w:ascii="Calibri" w:hAnsi="Calibri" w:cs="Calibri"/>
          <w:lang w:val="en-US"/>
        </w:rPr>
        <w:t xml:space="preserve"> de </w:t>
      </w:r>
      <w:proofErr w:type="spellStart"/>
      <w:r w:rsidRPr="00C05A62">
        <w:rPr>
          <w:rFonts w:ascii="Calibri" w:hAnsi="Calibri" w:cs="Calibri"/>
          <w:lang w:val="en-US"/>
        </w:rPr>
        <w:t>vida</w:t>
      </w:r>
      <w:proofErr w:type="spellEnd"/>
      <w:r w:rsidRPr="00C05A62">
        <w:rPr>
          <w:rFonts w:ascii="Calibri" w:hAnsi="Calibri" w:cs="Calibri"/>
          <w:lang w:val="en-US"/>
        </w:rPr>
        <w:t xml:space="preserve">. Essa </w:t>
      </w:r>
      <w:proofErr w:type="spellStart"/>
      <w:r w:rsidRPr="00C05A62">
        <w:rPr>
          <w:rFonts w:ascii="Calibri" w:hAnsi="Calibri" w:cs="Calibri"/>
          <w:lang w:val="en-US"/>
        </w:rPr>
        <w:t>abordagem</w:t>
      </w:r>
      <w:proofErr w:type="spellEnd"/>
      <w:r w:rsidRPr="00C05A62">
        <w:rPr>
          <w:rFonts w:ascii="Calibri" w:hAnsi="Calibri" w:cs="Calibri"/>
          <w:lang w:val="en-US"/>
        </w:rPr>
        <w:t xml:space="preserve"> se </w:t>
      </w:r>
      <w:proofErr w:type="spellStart"/>
      <w:r w:rsidRPr="00C05A62">
        <w:rPr>
          <w:rFonts w:ascii="Calibri" w:hAnsi="Calibri" w:cs="Calibri"/>
          <w:lang w:val="en-US"/>
        </w:rPr>
        <w:t>alinha</w:t>
      </w:r>
      <w:proofErr w:type="spellEnd"/>
      <w:r w:rsidRPr="00C05A62">
        <w:rPr>
          <w:rFonts w:ascii="Calibri" w:hAnsi="Calibri" w:cs="Calibri"/>
          <w:lang w:val="en-US"/>
        </w:rPr>
        <w:t xml:space="preserve"> </w:t>
      </w:r>
      <w:proofErr w:type="gramStart"/>
      <w:r w:rsidRPr="00C05A62">
        <w:rPr>
          <w:rFonts w:ascii="Calibri" w:hAnsi="Calibri" w:cs="Calibri"/>
          <w:lang w:val="en-US"/>
        </w:rPr>
        <w:t>a</w:t>
      </w:r>
      <w:proofErr w:type="gramEnd"/>
      <w:r w:rsidRPr="00C05A62">
        <w:rPr>
          <w:rFonts w:ascii="Calibri" w:hAnsi="Calibri" w:cs="Calibri"/>
          <w:lang w:val="en-US"/>
        </w:rPr>
        <w:t xml:space="preserve"> </w:t>
      </w:r>
      <w:proofErr w:type="spellStart"/>
      <w:r w:rsidRPr="00C05A62">
        <w:rPr>
          <w:rFonts w:ascii="Calibri" w:hAnsi="Calibri" w:cs="Calibri"/>
          <w:lang w:val="en-US"/>
        </w:rPr>
        <w:t>esforços</w:t>
      </w:r>
      <w:proofErr w:type="spellEnd"/>
      <w:r w:rsidRPr="00C05A62">
        <w:rPr>
          <w:rFonts w:ascii="Calibri" w:hAnsi="Calibri" w:cs="Calibri"/>
          <w:lang w:val="en-US"/>
        </w:rPr>
        <w:t xml:space="preserve"> </w:t>
      </w:r>
      <w:proofErr w:type="spellStart"/>
      <w:r w:rsidRPr="00C05A62">
        <w:rPr>
          <w:rFonts w:ascii="Calibri" w:hAnsi="Calibri" w:cs="Calibri"/>
          <w:lang w:val="en-US"/>
        </w:rPr>
        <w:t>mais</w:t>
      </w:r>
      <w:proofErr w:type="spellEnd"/>
      <w:r w:rsidRPr="00C05A62">
        <w:rPr>
          <w:rFonts w:ascii="Calibri" w:hAnsi="Calibri" w:cs="Calibri"/>
          <w:lang w:val="en-US"/>
        </w:rPr>
        <w:t xml:space="preserve"> </w:t>
      </w:r>
      <w:proofErr w:type="spellStart"/>
      <w:r w:rsidRPr="00C05A62">
        <w:rPr>
          <w:rFonts w:ascii="Calibri" w:hAnsi="Calibri" w:cs="Calibri"/>
          <w:lang w:val="en-US"/>
        </w:rPr>
        <w:t>amplos</w:t>
      </w:r>
      <w:proofErr w:type="spellEnd"/>
      <w:r w:rsidRPr="00C05A62">
        <w:rPr>
          <w:rFonts w:ascii="Calibri" w:hAnsi="Calibri" w:cs="Calibri"/>
          <w:lang w:val="en-US"/>
        </w:rPr>
        <w:t xml:space="preserve"> para </w:t>
      </w:r>
      <w:proofErr w:type="spellStart"/>
      <w:r w:rsidRPr="00C05A62">
        <w:rPr>
          <w:rFonts w:ascii="Calibri" w:hAnsi="Calibri" w:cs="Calibri"/>
          <w:lang w:val="en-US"/>
        </w:rPr>
        <w:t>desenvolver</w:t>
      </w:r>
      <w:proofErr w:type="spellEnd"/>
      <w:r w:rsidRPr="00C05A62">
        <w:rPr>
          <w:rFonts w:ascii="Calibri" w:hAnsi="Calibri" w:cs="Calibri"/>
          <w:lang w:val="en-US"/>
        </w:rPr>
        <w:t xml:space="preserve"> </w:t>
      </w:r>
      <w:proofErr w:type="spellStart"/>
      <w:r w:rsidRPr="00C05A62">
        <w:rPr>
          <w:rFonts w:ascii="Calibri" w:hAnsi="Calibri" w:cs="Calibri"/>
          <w:lang w:val="en-US"/>
        </w:rPr>
        <w:t>políticas</w:t>
      </w:r>
      <w:proofErr w:type="spellEnd"/>
      <w:r w:rsidRPr="00C05A62">
        <w:rPr>
          <w:rFonts w:ascii="Calibri" w:hAnsi="Calibri" w:cs="Calibri"/>
          <w:lang w:val="en-US"/>
        </w:rPr>
        <w:t xml:space="preserve"> </w:t>
      </w:r>
      <w:proofErr w:type="spellStart"/>
      <w:r w:rsidRPr="00C05A62">
        <w:rPr>
          <w:rFonts w:ascii="Calibri" w:hAnsi="Calibri" w:cs="Calibri"/>
          <w:lang w:val="en-US"/>
        </w:rPr>
        <w:t>públicas</w:t>
      </w:r>
      <w:proofErr w:type="spellEnd"/>
      <w:r w:rsidRPr="00C05A62">
        <w:rPr>
          <w:rFonts w:ascii="Calibri" w:hAnsi="Calibri" w:cs="Calibri"/>
          <w:lang w:val="en-US"/>
        </w:rPr>
        <w:t xml:space="preserve"> </w:t>
      </w:r>
      <w:proofErr w:type="spellStart"/>
      <w:r w:rsidRPr="00C05A62">
        <w:rPr>
          <w:rFonts w:ascii="Calibri" w:hAnsi="Calibri" w:cs="Calibri"/>
          <w:lang w:val="en-US"/>
        </w:rPr>
        <w:t>inclusivas</w:t>
      </w:r>
      <w:proofErr w:type="spellEnd"/>
      <w:r w:rsidRPr="00C05A62">
        <w:rPr>
          <w:rFonts w:ascii="Calibri" w:hAnsi="Calibri" w:cs="Calibri"/>
          <w:lang w:val="en-US"/>
        </w:rPr>
        <w:t xml:space="preserve"> para </w:t>
      </w:r>
      <w:proofErr w:type="gramStart"/>
      <w:r w:rsidRPr="00C05A62">
        <w:rPr>
          <w:rFonts w:ascii="Calibri" w:hAnsi="Calibri" w:cs="Calibri"/>
          <w:lang w:val="en-US"/>
        </w:rPr>
        <w:t>a</w:t>
      </w:r>
      <w:proofErr w:type="gramEnd"/>
      <w:r w:rsidRPr="00C05A62">
        <w:rPr>
          <w:rFonts w:ascii="Calibri" w:hAnsi="Calibri" w:cs="Calibri"/>
          <w:lang w:val="en-US"/>
        </w:rPr>
        <w:t xml:space="preserve"> </w:t>
      </w:r>
      <w:proofErr w:type="spellStart"/>
      <w:r w:rsidRPr="00C05A62">
        <w:rPr>
          <w:rFonts w:ascii="Calibri" w:hAnsi="Calibri" w:cs="Calibri"/>
          <w:lang w:val="en-US"/>
        </w:rPr>
        <w:t>idade</w:t>
      </w:r>
      <w:proofErr w:type="spellEnd"/>
      <w:r w:rsidRPr="00C05A62">
        <w:rPr>
          <w:rFonts w:ascii="Calibri" w:hAnsi="Calibri" w:cs="Calibri"/>
          <w:lang w:val="en-US"/>
        </w:rPr>
        <w:t xml:space="preserve">, </w:t>
      </w:r>
      <w:proofErr w:type="spellStart"/>
      <w:r w:rsidRPr="00C05A62">
        <w:rPr>
          <w:rFonts w:ascii="Calibri" w:hAnsi="Calibri" w:cs="Calibri"/>
          <w:lang w:val="en-US"/>
        </w:rPr>
        <w:t>garantindo</w:t>
      </w:r>
      <w:proofErr w:type="spellEnd"/>
      <w:r w:rsidRPr="00C05A62">
        <w:rPr>
          <w:rFonts w:ascii="Calibri" w:hAnsi="Calibri" w:cs="Calibri"/>
          <w:lang w:val="en-US"/>
        </w:rPr>
        <w:t xml:space="preserve"> que as </w:t>
      </w:r>
      <w:proofErr w:type="spellStart"/>
      <w:r w:rsidRPr="00C05A62">
        <w:rPr>
          <w:rFonts w:ascii="Calibri" w:hAnsi="Calibri" w:cs="Calibri"/>
          <w:lang w:val="en-US"/>
        </w:rPr>
        <w:t>populações</w:t>
      </w:r>
      <w:proofErr w:type="spellEnd"/>
      <w:r w:rsidRPr="00C05A62">
        <w:rPr>
          <w:rFonts w:ascii="Calibri" w:hAnsi="Calibri" w:cs="Calibri"/>
          <w:lang w:val="en-US"/>
        </w:rPr>
        <w:t xml:space="preserve"> </w:t>
      </w:r>
      <w:proofErr w:type="spellStart"/>
      <w:r w:rsidRPr="00C05A62">
        <w:rPr>
          <w:rFonts w:ascii="Calibri" w:hAnsi="Calibri" w:cs="Calibri"/>
          <w:lang w:val="en-US"/>
        </w:rPr>
        <w:t>mais</w:t>
      </w:r>
      <w:proofErr w:type="spellEnd"/>
      <w:r w:rsidRPr="00C05A62">
        <w:rPr>
          <w:rFonts w:ascii="Calibri" w:hAnsi="Calibri" w:cs="Calibri"/>
          <w:lang w:val="en-US"/>
        </w:rPr>
        <w:t xml:space="preserve"> </w:t>
      </w:r>
      <w:proofErr w:type="spellStart"/>
      <w:r w:rsidRPr="00C05A62">
        <w:rPr>
          <w:rFonts w:ascii="Calibri" w:hAnsi="Calibri" w:cs="Calibri"/>
          <w:lang w:val="en-US"/>
        </w:rPr>
        <w:t>velhas</w:t>
      </w:r>
      <w:proofErr w:type="spellEnd"/>
      <w:r w:rsidRPr="00C05A62">
        <w:rPr>
          <w:rFonts w:ascii="Calibri" w:hAnsi="Calibri" w:cs="Calibri"/>
          <w:lang w:val="en-US"/>
        </w:rPr>
        <w:t xml:space="preserve"> </w:t>
      </w:r>
      <w:proofErr w:type="spellStart"/>
      <w:r w:rsidRPr="00C05A62">
        <w:rPr>
          <w:rFonts w:ascii="Calibri" w:hAnsi="Calibri" w:cs="Calibri"/>
          <w:lang w:val="en-US"/>
        </w:rPr>
        <w:t>sejam</w:t>
      </w:r>
      <w:proofErr w:type="spellEnd"/>
      <w:r w:rsidRPr="00C05A62">
        <w:rPr>
          <w:rFonts w:ascii="Calibri" w:hAnsi="Calibri" w:cs="Calibri"/>
          <w:lang w:val="en-US"/>
        </w:rPr>
        <w:t xml:space="preserve"> </w:t>
      </w:r>
      <w:proofErr w:type="spellStart"/>
      <w:r w:rsidRPr="00C05A62">
        <w:rPr>
          <w:rFonts w:ascii="Calibri" w:hAnsi="Calibri" w:cs="Calibri"/>
          <w:lang w:val="en-US"/>
        </w:rPr>
        <w:t>reconhecidas</w:t>
      </w:r>
      <w:proofErr w:type="spellEnd"/>
      <w:r w:rsidRPr="00C05A62">
        <w:rPr>
          <w:rFonts w:ascii="Calibri" w:hAnsi="Calibri" w:cs="Calibri"/>
          <w:lang w:val="en-US"/>
        </w:rPr>
        <w:t xml:space="preserve"> </w:t>
      </w:r>
      <w:proofErr w:type="spellStart"/>
      <w:r w:rsidRPr="00C05A62">
        <w:rPr>
          <w:rFonts w:ascii="Calibri" w:hAnsi="Calibri" w:cs="Calibri"/>
          <w:lang w:val="en-US"/>
        </w:rPr>
        <w:t>como</w:t>
      </w:r>
      <w:proofErr w:type="spellEnd"/>
      <w:r w:rsidRPr="00C05A62">
        <w:rPr>
          <w:rFonts w:ascii="Calibri" w:hAnsi="Calibri" w:cs="Calibri"/>
          <w:lang w:val="en-US"/>
        </w:rPr>
        <w:t xml:space="preserve"> </w:t>
      </w:r>
      <w:proofErr w:type="spellStart"/>
      <w:r w:rsidRPr="00C05A62">
        <w:rPr>
          <w:rFonts w:ascii="Calibri" w:hAnsi="Calibri" w:cs="Calibri"/>
          <w:lang w:val="en-US"/>
        </w:rPr>
        <w:t>atores-chave</w:t>
      </w:r>
      <w:proofErr w:type="spellEnd"/>
      <w:r w:rsidRPr="00C05A62">
        <w:rPr>
          <w:rFonts w:ascii="Calibri" w:hAnsi="Calibri" w:cs="Calibri"/>
          <w:lang w:val="en-US"/>
        </w:rPr>
        <w:t xml:space="preserve"> </w:t>
      </w:r>
      <w:proofErr w:type="spellStart"/>
      <w:r w:rsidRPr="00C05A62">
        <w:rPr>
          <w:rFonts w:ascii="Calibri" w:hAnsi="Calibri" w:cs="Calibri"/>
          <w:lang w:val="en-US"/>
        </w:rPr>
        <w:t>na</w:t>
      </w:r>
      <w:proofErr w:type="spellEnd"/>
      <w:r w:rsidRPr="00C05A62">
        <w:rPr>
          <w:rFonts w:ascii="Calibri" w:hAnsi="Calibri" w:cs="Calibri"/>
          <w:lang w:val="en-US"/>
        </w:rPr>
        <w:t xml:space="preserve"> </w:t>
      </w:r>
      <w:proofErr w:type="spellStart"/>
      <w:r w:rsidRPr="00C05A62">
        <w:rPr>
          <w:rFonts w:ascii="Calibri" w:hAnsi="Calibri" w:cs="Calibri"/>
          <w:lang w:val="en-US"/>
        </w:rPr>
        <w:t>formação</w:t>
      </w:r>
      <w:proofErr w:type="spellEnd"/>
      <w:r w:rsidRPr="00C05A62">
        <w:rPr>
          <w:rFonts w:ascii="Calibri" w:hAnsi="Calibri" w:cs="Calibri"/>
          <w:lang w:val="en-US"/>
        </w:rPr>
        <w:t xml:space="preserve"> de </w:t>
      </w:r>
      <w:proofErr w:type="spellStart"/>
      <w:r w:rsidRPr="00C05A62">
        <w:rPr>
          <w:rFonts w:ascii="Calibri" w:hAnsi="Calibri" w:cs="Calibri"/>
          <w:lang w:val="en-US"/>
        </w:rPr>
        <w:t>suas</w:t>
      </w:r>
      <w:proofErr w:type="spellEnd"/>
      <w:r w:rsidRPr="00C05A62">
        <w:rPr>
          <w:rFonts w:ascii="Calibri" w:hAnsi="Calibri" w:cs="Calibri"/>
          <w:lang w:val="en-US"/>
        </w:rPr>
        <w:t xml:space="preserve"> </w:t>
      </w:r>
      <w:proofErr w:type="spellStart"/>
      <w:r w:rsidRPr="00C05A62">
        <w:rPr>
          <w:rFonts w:ascii="Calibri" w:hAnsi="Calibri" w:cs="Calibri"/>
          <w:lang w:val="en-US"/>
        </w:rPr>
        <w:t>comunidades</w:t>
      </w:r>
      <w:proofErr w:type="spellEnd"/>
      <w:r w:rsidRPr="00C05A62">
        <w:rPr>
          <w:rFonts w:ascii="Calibri" w:hAnsi="Calibri" w:cs="Calibri"/>
          <w:lang w:val="en-US"/>
        </w:rPr>
        <w:t>.</w:t>
      </w:r>
    </w:p>
    <w:p w14:paraId="5CDC231B" w14:textId="77777777" w:rsidR="009D608F" w:rsidRDefault="009D608F" w:rsidP="009D608F">
      <w:pPr>
        <w:spacing w:line="360" w:lineRule="auto"/>
        <w:jc w:val="both"/>
        <w:rPr>
          <w:rFonts w:ascii="Calibri" w:hAnsi="Calibri" w:cs="Calibri"/>
          <w:lang w:val="en-US"/>
        </w:rPr>
      </w:pPr>
      <w:proofErr w:type="spellStart"/>
      <w:r w:rsidRPr="008A0F66">
        <w:rPr>
          <w:rFonts w:ascii="Calibri" w:hAnsi="Calibri" w:cs="Calibri"/>
          <w:b/>
          <w:bCs/>
          <w:sz w:val="28"/>
          <w:szCs w:val="28"/>
          <w:lang w:val="en-US"/>
        </w:rPr>
        <w:t>Palavras-chave</w:t>
      </w:r>
      <w:proofErr w:type="spellEnd"/>
      <w:r w:rsidRPr="008A0F66">
        <w:rPr>
          <w:rFonts w:ascii="Calibri" w:hAnsi="Calibri" w:cs="Calibri"/>
          <w:b/>
          <w:bCs/>
          <w:sz w:val="28"/>
          <w:szCs w:val="28"/>
          <w:lang w:val="en-US"/>
        </w:rPr>
        <w:t>:</w:t>
      </w:r>
      <w:r w:rsidRPr="00C05A62">
        <w:rPr>
          <w:rFonts w:ascii="Calibri" w:hAnsi="Calibri" w:cs="Calibri"/>
          <w:lang w:val="en-US"/>
        </w:rPr>
        <w:t xml:space="preserve"> </w:t>
      </w:r>
      <w:proofErr w:type="spellStart"/>
      <w:r w:rsidRPr="00C05A62">
        <w:rPr>
          <w:rFonts w:ascii="Calibri" w:hAnsi="Calibri" w:cs="Calibri"/>
          <w:lang w:val="en-US"/>
        </w:rPr>
        <w:t>envelhecimento</w:t>
      </w:r>
      <w:proofErr w:type="spellEnd"/>
      <w:r w:rsidRPr="00C05A62">
        <w:rPr>
          <w:rFonts w:ascii="Calibri" w:hAnsi="Calibri" w:cs="Calibri"/>
          <w:lang w:val="en-US"/>
        </w:rPr>
        <w:t xml:space="preserve"> e </w:t>
      </w:r>
      <w:proofErr w:type="spellStart"/>
      <w:r w:rsidRPr="00C05A62">
        <w:rPr>
          <w:rFonts w:ascii="Calibri" w:hAnsi="Calibri" w:cs="Calibri"/>
          <w:lang w:val="en-US"/>
        </w:rPr>
        <w:t>cidadania</w:t>
      </w:r>
      <w:proofErr w:type="spellEnd"/>
      <w:r w:rsidRPr="00C05A62">
        <w:rPr>
          <w:rFonts w:ascii="Calibri" w:hAnsi="Calibri" w:cs="Calibri"/>
          <w:lang w:val="en-US"/>
        </w:rPr>
        <w:t xml:space="preserve"> </w:t>
      </w:r>
      <w:proofErr w:type="spellStart"/>
      <w:r w:rsidRPr="00C05A62">
        <w:rPr>
          <w:rFonts w:ascii="Calibri" w:hAnsi="Calibri" w:cs="Calibri"/>
          <w:lang w:val="en-US"/>
        </w:rPr>
        <w:t>sustentável</w:t>
      </w:r>
      <w:proofErr w:type="spellEnd"/>
      <w:r w:rsidRPr="00C05A62">
        <w:rPr>
          <w:rFonts w:ascii="Calibri" w:hAnsi="Calibri" w:cs="Calibri"/>
          <w:lang w:val="en-US"/>
        </w:rPr>
        <w:t xml:space="preserve">, </w:t>
      </w:r>
      <w:proofErr w:type="spellStart"/>
      <w:r w:rsidRPr="00C05A62">
        <w:rPr>
          <w:rFonts w:ascii="Calibri" w:hAnsi="Calibri" w:cs="Calibri"/>
          <w:lang w:val="en-US"/>
        </w:rPr>
        <w:t>abordagem</w:t>
      </w:r>
      <w:proofErr w:type="spellEnd"/>
      <w:r w:rsidRPr="00C05A62">
        <w:rPr>
          <w:rFonts w:ascii="Calibri" w:hAnsi="Calibri" w:cs="Calibri"/>
          <w:lang w:val="en-US"/>
        </w:rPr>
        <w:t xml:space="preserve"> de </w:t>
      </w:r>
      <w:proofErr w:type="spellStart"/>
      <w:r w:rsidRPr="00C05A62">
        <w:rPr>
          <w:rFonts w:ascii="Calibri" w:hAnsi="Calibri" w:cs="Calibri"/>
          <w:lang w:val="en-US"/>
        </w:rPr>
        <w:t>curso</w:t>
      </w:r>
      <w:proofErr w:type="spellEnd"/>
      <w:r w:rsidRPr="00C05A62">
        <w:rPr>
          <w:rFonts w:ascii="Calibri" w:hAnsi="Calibri" w:cs="Calibri"/>
          <w:lang w:val="en-US"/>
        </w:rPr>
        <w:t xml:space="preserve"> de </w:t>
      </w:r>
      <w:proofErr w:type="spellStart"/>
      <w:r w:rsidRPr="00C05A62">
        <w:rPr>
          <w:rFonts w:ascii="Calibri" w:hAnsi="Calibri" w:cs="Calibri"/>
          <w:lang w:val="en-US"/>
        </w:rPr>
        <w:t>vida</w:t>
      </w:r>
      <w:proofErr w:type="spellEnd"/>
      <w:r w:rsidRPr="00C05A62">
        <w:rPr>
          <w:rFonts w:ascii="Calibri" w:hAnsi="Calibri" w:cs="Calibri"/>
          <w:lang w:val="en-US"/>
        </w:rPr>
        <w:t xml:space="preserve"> para </w:t>
      </w:r>
      <w:proofErr w:type="spellStart"/>
      <w:r w:rsidRPr="00C05A62">
        <w:rPr>
          <w:rFonts w:ascii="Calibri" w:hAnsi="Calibri" w:cs="Calibri"/>
          <w:lang w:val="en-US"/>
        </w:rPr>
        <w:t>engajamento</w:t>
      </w:r>
      <w:proofErr w:type="spellEnd"/>
      <w:r w:rsidRPr="00C05A62">
        <w:rPr>
          <w:rFonts w:ascii="Calibri" w:hAnsi="Calibri" w:cs="Calibri"/>
          <w:lang w:val="en-US"/>
        </w:rPr>
        <w:t xml:space="preserve"> </w:t>
      </w:r>
      <w:proofErr w:type="spellStart"/>
      <w:r w:rsidRPr="00C05A62">
        <w:rPr>
          <w:rFonts w:ascii="Calibri" w:hAnsi="Calibri" w:cs="Calibri"/>
          <w:lang w:val="en-US"/>
        </w:rPr>
        <w:t>cívico</w:t>
      </w:r>
      <w:proofErr w:type="spellEnd"/>
      <w:r w:rsidRPr="00C05A62">
        <w:rPr>
          <w:rFonts w:ascii="Calibri" w:hAnsi="Calibri" w:cs="Calibri"/>
          <w:lang w:val="en-US"/>
        </w:rPr>
        <w:t xml:space="preserve">, </w:t>
      </w:r>
      <w:proofErr w:type="spellStart"/>
      <w:r w:rsidRPr="00C05A62">
        <w:rPr>
          <w:rFonts w:ascii="Calibri" w:hAnsi="Calibri" w:cs="Calibri"/>
          <w:lang w:val="en-US"/>
        </w:rPr>
        <w:t>metodologias</w:t>
      </w:r>
      <w:proofErr w:type="spellEnd"/>
      <w:r w:rsidRPr="00C05A62">
        <w:rPr>
          <w:rFonts w:ascii="Calibri" w:hAnsi="Calibri" w:cs="Calibri"/>
          <w:lang w:val="en-US"/>
        </w:rPr>
        <w:t xml:space="preserve"> </w:t>
      </w:r>
      <w:proofErr w:type="spellStart"/>
      <w:r w:rsidRPr="00C05A62">
        <w:rPr>
          <w:rFonts w:ascii="Calibri" w:hAnsi="Calibri" w:cs="Calibri"/>
          <w:lang w:val="en-US"/>
        </w:rPr>
        <w:t>participativas</w:t>
      </w:r>
      <w:proofErr w:type="spellEnd"/>
      <w:r w:rsidRPr="00C05A62">
        <w:rPr>
          <w:rFonts w:ascii="Calibri" w:hAnsi="Calibri" w:cs="Calibri"/>
          <w:lang w:val="en-US"/>
        </w:rPr>
        <w:t xml:space="preserve">, </w:t>
      </w:r>
      <w:proofErr w:type="spellStart"/>
      <w:r w:rsidRPr="00C05A62">
        <w:rPr>
          <w:rFonts w:ascii="Calibri" w:hAnsi="Calibri" w:cs="Calibri"/>
          <w:lang w:val="en-US"/>
        </w:rPr>
        <w:t>engenharia</w:t>
      </w:r>
      <w:proofErr w:type="spellEnd"/>
      <w:r w:rsidRPr="00C05A62">
        <w:rPr>
          <w:rFonts w:ascii="Calibri" w:hAnsi="Calibri" w:cs="Calibri"/>
          <w:lang w:val="en-US"/>
        </w:rPr>
        <w:t xml:space="preserve"> </w:t>
      </w:r>
      <w:proofErr w:type="spellStart"/>
      <w:r w:rsidRPr="00C05A62">
        <w:rPr>
          <w:rFonts w:ascii="Calibri" w:hAnsi="Calibri" w:cs="Calibri"/>
          <w:lang w:val="en-US"/>
        </w:rPr>
        <w:t>gerontológica</w:t>
      </w:r>
      <w:proofErr w:type="spellEnd"/>
      <w:r w:rsidRPr="00C05A62">
        <w:rPr>
          <w:rFonts w:ascii="Calibri" w:hAnsi="Calibri" w:cs="Calibri"/>
          <w:lang w:val="en-US"/>
        </w:rPr>
        <w:t xml:space="preserve">, </w:t>
      </w:r>
      <w:proofErr w:type="spellStart"/>
      <w:r w:rsidRPr="00C05A62">
        <w:rPr>
          <w:rFonts w:ascii="Calibri" w:hAnsi="Calibri" w:cs="Calibri"/>
          <w:lang w:val="en-US"/>
        </w:rPr>
        <w:t>direitos</w:t>
      </w:r>
      <w:proofErr w:type="spellEnd"/>
      <w:r w:rsidRPr="00C05A62">
        <w:rPr>
          <w:rFonts w:ascii="Calibri" w:hAnsi="Calibri" w:cs="Calibri"/>
          <w:lang w:val="en-US"/>
        </w:rPr>
        <w:t xml:space="preserve"> dos </w:t>
      </w:r>
      <w:proofErr w:type="spellStart"/>
      <w:r w:rsidRPr="00C05A62">
        <w:rPr>
          <w:rFonts w:ascii="Calibri" w:hAnsi="Calibri" w:cs="Calibri"/>
          <w:lang w:val="en-US"/>
        </w:rPr>
        <w:t>idosos</w:t>
      </w:r>
      <w:proofErr w:type="spellEnd"/>
      <w:r w:rsidRPr="00C05A62">
        <w:rPr>
          <w:rFonts w:ascii="Calibri" w:hAnsi="Calibri" w:cs="Calibri"/>
          <w:lang w:val="en-US"/>
        </w:rPr>
        <w:t>.</w:t>
      </w:r>
    </w:p>
    <w:p w14:paraId="043BB168" w14:textId="77777777" w:rsidR="009D608F" w:rsidRDefault="009D608F" w:rsidP="009D608F">
      <w:pPr>
        <w:spacing w:line="360" w:lineRule="auto"/>
        <w:jc w:val="both"/>
        <w:rPr>
          <w:rFonts w:ascii="Calibri" w:hAnsi="Calibri" w:cs="Calibri"/>
          <w:lang w:val="en-US"/>
        </w:rPr>
      </w:pPr>
    </w:p>
    <w:p w14:paraId="01119A28" w14:textId="77777777" w:rsidR="009D608F" w:rsidRPr="00C1147A" w:rsidRDefault="009D608F" w:rsidP="009D608F">
      <w:pPr>
        <w:spacing w:line="360" w:lineRule="auto"/>
        <w:jc w:val="both"/>
        <w:rPr>
          <w:rFonts w:ascii="Calibri" w:hAnsi="Calibri" w:cs="Calibri"/>
          <w:lang w:val="es-MX"/>
        </w:rPr>
      </w:pPr>
      <w:r w:rsidRPr="00C1147A">
        <w:rPr>
          <w:rFonts w:ascii="Calibri" w:hAnsi="Calibri" w:cs="Calibri"/>
          <w:b/>
          <w:bCs/>
          <w:lang w:val="es-MX"/>
        </w:rPr>
        <w:t>Fecha Recepción:</w:t>
      </w:r>
      <w:r>
        <w:rPr>
          <w:rFonts w:ascii="Calibri" w:hAnsi="Calibri" w:cs="Calibri"/>
          <w:lang w:val="es-MX"/>
        </w:rPr>
        <w:t xml:space="preserve"> 05 </w:t>
      </w:r>
      <w:proofErr w:type="gramStart"/>
      <w:r>
        <w:rPr>
          <w:rFonts w:ascii="Calibri" w:hAnsi="Calibri" w:cs="Calibri"/>
          <w:lang w:val="es-MX"/>
        </w:rPr>
        <w:t xml:space="preserve">enero </w:t>
      </w:r>
      <w:r w:rsidRPr="00C1147A">
        <w:rPr>
          <w:rFonts w:ascii="Calibri" w:hAnsi="Calibri" w:cs="Calibri"/>
          <w:lang w:val="es-MX"/>
        </w:rPr>
        <w:t xml:space="preserve"> 202</w:t>
      </w:r>
      <w:r>
        <w:rPr>
          <w:rFonts w:ascii="Calibri" w:hAnsi="Calibri" w:cs="Calibri"/>
          <w:lang w:val="es-MX"/>
        </w:rPr>
        <w:t>5</w:t>
      </w:r>
      <w:proofErr w:type="gramEnd"/>
      <w:r w:rsidRPr="00C1147A">
        <w:rPr>
          <w:rFonts w:ascii="Calibri" w:hAnsi="Calibri" w:cs="Calibri"/>
          <w:lang w:val="es-MX"/>
        </w:rPr>
        <w:t xml:space="preserve">  </w:t>
      </w:r>
      <w:r>
        <w:rPr>
          <w:rFonts w:ascii="Calibri" w:hAnsi="Calibri" w:cs="Calibri"/>
          <w:lang w:val="es-MX"/>
        </w:rPr>
        <w:t xml:space="preserve">    </w:t>
      </w:r>
      <w:r w:rsidRPr="00C1147A">
        <w:rPr>
          <w:rFonts w:ascii="Calibri" w:hAnsi="Calibri" w:cs="Calibri"/>
          <w:b/>
          <w:bCs/>
          <w:lang w:val="es-MX"/>
        </w:rPr>
        <w:t>Fecha Aceptación:</w:t>
      </w:r>
      <w:r>
        <w:rPr>
          <w:rFonts w:ascii="Calibri" w:hAnsi="Calibri" w:cs="Calibri"/>
          <w:lang w:val="es-MX"/>
        </w:rPr>
        <w:t xml:space="preserve">      </w:t>
      </w:r>
      <w:proofErr w:type="gramStart"/>
      <w:r>
        <w:rPr>
          <w:rFonts w:ascii="Calibri" w:hAnsi="Calibri" w:cs="Calibri"/>
          <w:lang w:val="es-MX"/>
        </w:rPr>
        <w:t xml:space="preserve">febrero </w:t>
      </w:r>
      <w:r w:rsidRPr="00C1147A">
        <w:rPr>
          <w:rFonts w:ascii="Calibri" w:hAnsi="Calibri" w:cs="Calibri"/>
          <w:lang w:val="es-MX"/>
        </w:rPr>
        <w:t xml:space="preserve"> 202</w:t>
      </w:r>
      <w:r>
        <w:rPr>
          <w:rFonts w:ascii="Calibri" w:hAnsi="Calibri" w:cs="Calibri"/>
          <w:lang w:val="es-MX"/>
        </w:rPr>
        <w:t>5</w:t>
      </w:r>
      <w:proofErr w:type="gramEnd"/>
    </w:p>
    <w:bookmarkEnd w:id="0"/>
    <w:p w14:paraId="1B53ACED" w14:textId="77777777" w:rsidR="009D608F" w:rsidRDefault="009D608F" w:rsidP="009D608F">
      <w:pPr>
        <w:spacing w:line="360" w:lineRule="auto"/>
        <w:jc w:val="both"/>
        <w:rPr>
          <w:rFonts w:ascii="Calibri" w:hAnsi="Calibri" w:cs="Calibri"/>
          <w:lang w:val="en-US"/>
        </w:rPr>
      </w:pPr>
      <w:r>
        <w:rPr>
          <w:rFonts w:ascii="Calibri" w:hAnsi="Calibri" w:cs="Calibri"/>
          <w:noProof/>
          <w:lang w:val="en-US"/>
        </w:rPr>
        <mc:AlternateContent>
          <mc:Choice Requires="wps">
            <w:drawing>
              <wp:anchor distT="0" distB="0" distL="114300" distR="114300" simplePos="0" relativeHeight="251659264" behindDoc="0" locked="0" layoutInCell="1" allowOverlap="1" wp14:anchorId="741DC302" wp14:editId="34CF10F0">
                <wp:simplePos x="0" y="0"/>
                <wp:positionH relativeFrom="column">
                  <wp:posOffset>13969</wp:posOffset>
                </wp:positionH>
                <wp:positionV relativeFrom="paragraph">
                  <wp:posOffset>7257</wp:posOffset>
                </wp:positionV>
                <wp:extent cx="5799909" cy="0"/>
                <wp:effectExtent l="0" t="0" r="0" b="0"/>
                <wp:wrapNone/>
                <wp:docPr id="905817363" name="Conector recto 1"/>
                <wp:cNvGraphicFramePr/>
                <a:graphic xmlns:a="http://schemas.openxmlformats.org/drawingml/2006/main">
                  <a:graphicData uri="http://schemas.microsoft.com/office/word/2010/wordprocessingShape">
                    <wps:wsp>
                      <wps:cNvCnPr/>
                      <wps:spPr>
                        <a:xfrm>
                          <a:off x="0" y="0"/>
                          <a:ext cx="579990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4ABC5F"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pt,.55pt" to="457.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" strokecolor="#4472c4 [3204]" strokeweight=".5pt">
                <v:stroke joinstyle="miter"/>
              </v:line>
            </w:pict>
          </mc:Fallback>
        </mc:AlternateContent>
      </w:r>
    </w:p>
    <w:p w14:paraId="576334DC" w14:textId="77777777" w:rsidR="005152FD" w:rsidRPr="00C05A62" w:rsidRDefault="005152FD" w:rsidP="008A0F66">
      <w:pPr>
        <w:spacing w:line="360" w:lineRule="auto"/>
        <w:jc w:val="both"/>
        <w:rPr>
          <w:rFonts w:ascii="Calibri" w:hAnsi="Calibri" w:cs="Calibri"/>
          <w:lang w:val="en-US"/>
        </w:rPr>
      </w:pPr>
    </w:p>
    <w:p w14:paraId="1D49AB9F" w14:textId="781776A5" w:rsidR="003522A9" w:rsidRPr="003B2899" w:rsidRDefault="0006644D" w:rsidP="00C05A62">
      <w:pPr>
        <w:pStyle w:val="Ttulo1"/>
        <w:spacing w:line="276" w:lineRule="auto"/>
        <w:jc w:val="center"/>
        <w:rPr>
          <w:szCs w:val="32"/>
          <w:lang w:val="en-US"/>
        </w:rPr>
      </w:pPr>
      <w:bookmarkStart w:id="1" w:name="_Toc193356874"/>
      <w:r w:rsidRPr="003B2899">
        <w:rPr>
          <w:szCs w:val="32"/>
          <w:lang w:val="en-US"/>
        </w:rPr>
        <w:t>Introducción</w:t>
      </w:r>
      <w:bookmarkEnd w:id="1"/>
    </w:p>
    <w:p w14:paraId="2E49A411" w14:textId="39A28882" w:rsidR="003522A9" w:rsidRPr="003B2899" w:rsidRDefault="003522A9" w:rsidP="00E35C19">
      <w:pPr>
        <w:spacing w:before="0" w:after="0" w:line="360" w:lineRule="auto"/>
        <w:ind w:firstLine="567"/>
        <w:jc w:val="both"/>
        <w:rPr>
          <w:lang w:val="en-US" w:eastAsia="fr-FR"/>
        </w:rPr>
      </w:pPr>
      <w:r w:rsidRPr="003B2899">
        <w:rPr>
          <w:lang w:val="en-US" w:eastAsia="fr-FR"/>
        </w:rPr>
        <w:t>La transición demográfica global contemporánea presenta desafíos y oportunidades sin precedentes para fomentar sociedades inclusivas que defiendan los principios de ciudadanía activa y participación a lo largo de la vida. Como se articuló en los Principios de las Naciones Unidas en favor de las Personas de Edad de 1991 y se desarrolló en la Declaración Universal de la UNESCO sobre la Diversidad Cultural de 2001, la inclusión y la participación social son fundamentales para la realización de los derechos humanos y la justicia social en un mundo que envejece. Estos marcos enfatizan que las personas mayores a menudo se representan como beneficiarios de las políticas sociales, pero con menos frecuencia se les muestra como contribuyentes activos en la configuración de sus comunidades y las estructuras de gobernanza local.</w:t>
      </w:r>
    </w:p>
    <w:p w14:paraId="47EC1CF0" w14:textId="27DBF578" w:rsidR="003522A9" w:rsidRPr="003B2899" w:rsidRDefault="003522A9" w:rsidP="00E35C19">
      <w:pPr>
        <w:spacing w:before="0" w:after="0" w:line="360" w:lineRule="auto"/>
        <w:ind w:firstLine="567"/>
        <w:jc w:val="both"/>
        <w:rPr>
          <w:lang w:val="en-US" w:eastAsia="fr-FR"/>
        </w:rPr>
      </w:pPr>
      <w:r w:rsidRPr="003B2899">
        <w:rPr>
          <w:lang w:val="en-US" w:eastAsia="fr-FR"/>
        </w:rPr>
        <w:t>Esta presentación explora los fundamentos teóricos de la inclusión, la ciudadanía y la participación a lo largo de la vida en los dos primeros capítulos, seguidos en el último capítulo por un examen empírico de los Talleres de Diseño Ciudadano (CDW) realizados en la ciudad de Metz (Gran Este, Francia) y posteriormente expandidos a otras siete ciudades francesas, algunas de las cuales están fuertemente comprometidas con la iniciativa Ciudades Amigables con las Personas Mayores de la Organización Mundial de la Salud (OMS). El método CDW fue diseñado para reposicionar a las personas mayores que representan diversas experiencias y trayectorias de envejecimiento dentro de los procesos locales de toma de decisiones. Esta sección se centra en las interacciones entre las personas mayores, los tomadores de decisiones públicas (funcionarios electos, profesionales) y los actores de la sociedad civil en la configuración de la acción pública. Interroga las condiciones bajo las cuales emergen las dinámicas participativas y el rol de los diferentes actores, desde los centros sociales hasta las asociaciones comunitarias.</w:t>
      </w:r>
    </w:p>
    <w:p w14:paraId="40620DB3" w14:textId="01AF8A6C" w:rsidR="002D2D87" w:rsidRPr="003B2899" w:rsidRDefault="003522A9" w:rsidP="00E35C19">
      <w:pPr>
        <w:spacing w:before="0" w:after="0" w:line="360" w:lineRule="auto"/>
        <w:ind w:firstLine="567"/>
        <w:jc w:val="both"/>
        <w:rPr>
          <w:lang w:val="en-US" w:eastAsia="fr-FR"/>
        </w:rPr>
      </w:pPr>
      <w:r w:rsidRPr="003B2899">
        <w:rPr>
          <w:lang w:val="en-US" w:eastAsia="fr-FR"/>
        </w:rPr>
        <w:t xml:space="preserve">Finalmente, el debate trasciende las cuestiones del envejecimiento para explorar cómo el método participativo de CDW puede adaptarse para abordar desafíos socioeconómicos más amplios a nivel nacional e internacional. Inspirado por las observaciones del trabajo de diseño social realizado en Quebec, en particular por la experiencia de Philippe Gauthier, el Diseño Ciudadano se desarrolló y experimentó posteriormente en Francia para integrar a las poblaciones mayores en toda su diversidad. Este enfoque forma parte de un marco más amplio </w:t>
      </w:r>
      <w:r w:rsidRPr="003B2899">
        <w:rPr>
          <w:lang w:val="en-US" w:eastAsia="fr-FR"/>
        </w:rPr>
        <w:lastRenderedPageBreak/>
        <w:t>de democracia participativa, con especial énfasis en la participación de grupos a menudo marginados o incluso excluidos de la dinámica local de toma de decisiones.</w:t>
      </w:r>
    </w:p>
    <w:p w14:paraId="074FD922" w14:textId="56F3BAED" w:rsidR="003522A9" w:rsidRDefault="003522A9" w:rsidP="00E35C19">
      <w:pPr>
        <w:spacing w:before="0" w:after="0" w:line="360" w:lineRule="auto"/>
        <w:ind w:firstLine="426"/>
        <w:jc w:val="both"/>
        <w:rPr>
          <w:lang w:val="en-US" w:eastAsia="fr-FR"/>
        </w:rPr>
      </w:pPr>
      <w:r w:rsidRPr="003B2899">
        <w:rPr>
          <w:lang w:val="en-US" w:eastAsia="fr-FR"/>
        </w:rPr>
        <w:t>Estos talleres ilustran cómo las metodologías participativas pueden incorporarse en la ingeniería gerontológica, fomentando un modelo más inclusivo y dinámico de compromiso cívico a lo largo de la vida.</w:t>
      </w:r>
    </w:p>
    <w:p w14:paraId="49CF40BA" w14:textId="77777777" w:rsidR="00E35C19" w:rsidRPr="003B2899" w:rsidRDefault="00E35C19" w:rsidP="003B2899">
      <w:pPr>
        <w:spacing w:before="100" w:beforeAutospacing="1" w:after="100" w:afterAutospacing="1" w:line="276" w:lineRule="auto"/>
        <w:ind w:firstLine="426"/>
        <w:jc w:val="both"/>
        <w:rPr>
          <w:lang w:val="en-US" w:eastAsia="fr-FR"/>
        </w:rPr>
      </w:pPr>
    </w:p>
    <w:p w14:paraId="289AC9E7" w14:textId="4FEE8869" w:rsidR="00F45F84" w:rsidRPr="00E35C19" w:rsidRDefault="007F211E" w:rsidP="00E35C19">
      <w:pPr>
        <w:pStyle w:val="Ttulo1"/>
        <w:numPr>
          <w:ilvl w:val="0"/>
          <w:numId w:val="38"/>
        </w:numPr>
        <w:spacing w:line="276" w:lineRule="auto"/>
        <w:jc w:val="center"/>
        <w:rPr>
          <w:szCs w:val="32"/>
          <w:lang w:val="en-US"/>
        </w:rPr>
      </w:pPr>
      <w:bookmarkStart w:id="2" w:name="_Toc193356875"/>
      <w:r w:rsidRPr="00E35C19">
        <w:rPr>
          <w:szCs w:val="32"/>
          <w:lang w:val="en-US"/>
        </w:rPr>
        <w:t>Inclusión, ciudadanía y participación en una perspectiva de por vida</w:t>
      </w:r>
      <w:bookmarkEnd w:id="2"/>
    </w:p>
    <w:p w14:paraId="22E3C5C0" w14:textId="08ACA1DD" w:rsidR="00F45F84" w:rsidRPr="00E35C19" w:rsidRDefault="00F45F84" w:rsidP="00E35C19">
      <w:pPr>
        <w:pStyle w:val="Ttulo2"/>
        <w:numPr>
          <w:ilvl w:val="1"/>
          <w:numId w:val="15"/>
        </w:numPr>
        <w:spacing w:line="276" w:lineRule="auto"/>
        <w:jc w:val="center"/>
        <w:rPr>
          <w:sz w:val="28"/>
          <w:szCs w:val="28"/>
          <w:lang w:val="en-US"/>
        </w:rPr>
      </w:pPr>
      <w:bookmarkStart w:id="3" w:name="_Toc193356876"/>
      <w:r w:rsidRPr="00E35C19">
        <w:rPr>
          <w:sz w:val="28"/>
          <w:szCs w:val="28"/>
          <w:lang w:val="en-US"/>
        </w:rPr>
        <w:t>De las transiciones demográficas a los desafíos democráticos</w:t>
      </w:r>
      <w:bookmarkEnd w:id="3"/>
    </w:p>
    <w:p w14:paraId="6BC9EDC7" w14:textId="13FC7E41" w:rsidR="007F211E" w:rsidRPr="003B2899" w:rsidRDefault="00F45F84" w:rsidP="00E35C19">
      <w:pPr>
        <w:spacing w:before="0" w:after="0" w:line="360" w:lineRule="auto"/>
        <w:ind w:firstLine="284"/>
        <w:jc w:val="both"/>
        <w:rPr>
          <w:lang w:val="en-US" w:eastAsia="fr-FR"/>
        </w:rPr>
      </w:pPr>
      <w:r w:rsidRPr="003B2899">
        <w:rPr>
          <w:lang w:val="en-US" w:eastAsia="fr-FR"/>
        </w:rPr>
        <w:t>En el contexto de los debates globales contemporáneos sobre derechos humanos, la transición demográfica abre nuevas perspectivas para las preocupaciones y los problemas. Este paradigma es particularmente pertinente dadas las transiciones demográficas caracterizadas por el envejecimiento de la población mundial. Según estimaciones de las Naciones Unidas, se prevé que la población mundial de personas de 65 años o más se duplique con creces, pasando de 761 millones en 2021 a 1.600 millones en 2050 (ONU, 2021). Para mediados de la década de 2030, se proyecta que el número de personas de 80 años o más alcance los 265 millones, superando al de los bebés (ONU, 2021). Este cambio demográfico subraya el desafío crucial de fomentar el compromiso social con un número cada vez mayor de adultos mayores, garantizando su participación activa e inclusión en la esfera cívica.</w:t>
      </w:r>
    </w:p>
    <w:p w14:paraId="78000F98" w14:textId="2B3CC1FC" w:rsidR="00A83118" w:rsidRPr="003B2899" w:rsidRDefault="008B5FF6" w:rsidP="00E35C19">
      <w:pPr>
        <w:spacing w:before="0" w:after="0" w:line="360" w:lineRule="auto"/>
        <w:ind w:firstLine="709"/>
        <w:jc w:val="both"/>
        <w:rPr>
          <w:lang w:val="en-US" w:eastAsia="fr-FR"/>
        </w:rPr>
      </w:pPr>
      <w:r w:rsidRPr="003B2899">
        <w:rPr>
          <w:lang w:val="en-US"/>
        </w:rPr>
        <w:t xml:space="preserve">El progreso en longevidad no solo ha ampliado el horizonte de la muerte y aumentado el número de centenarios y personas muy mayores. Sin duda, ha transformado la expectativa de vida real que experimenta cada persona. Se estima que </w:t>
      </w:r>
      <w:r w:rsidRPr="003B2899">
        <w:rPr>
          <w:rStyle w:val="Textoennegrita"/>
          <w:b w:val="0"/>
          <w:bCs w:val="0"/>
          <w:lang w:val="en-US"/>
        </w:rPr>
        <w:t xml:space="preserve">uno de cada dos niños nacidos en 2030 podría llegar a ser centenario </w:t>
      </w:r>
      <w:r w:rsidRPr="003B2899">
        <w:rPr>
          <w:lang w:val="en-US"/>
        </w:rPr>
        <w:t xml:space="preserve">. Francia cuenta actualmente con </w:t>
      </w:r>
      <w:r w:rsidRPr="003B2899">
        <w:rPr>
          <w:rStyle w:val="Textoennegrita"/>
          <w:b w:val="0"/>
          <w:bCs w:val="0"/>
          <w:lang w:val="en-US"/>
        </w:rPr>
        <w:t xml:space="preserve">20.000 centenarios </w:t>
      </w:r>
      <w:r w:rsidRPr="003B2899">
        <w:rPr>
          <w:lang w:val="en-US"/>
        </w:rPr>
        <w:t xml:space="preserve">y, según estimaciones, esta cifra podría ser </w:t>
      </w:r>
      <w:r w:rsidRPr="003B2899">
        <w:rPr>
          <w:rStyle w:val="Textoennegrita"/>
          <w:b w:val="0"/>
          <w:bCs w:val="0"/>
          <w:lang w:val="en-US"/>
        </w:rPr>
        <w:t xml:space="preserve">diez veces mayor para 2060 </w:t>
      </w:r>
      <w:r w:rsidRPr="003B2899">
        <w:rPr>
          <w:lang w:val="en-US"/>
        </w:rPr>
        <w:t xml:space="preserve">( </w:t>
      </w:r>
      <w:proofErr w:type="spellStart"/>
      <w:r w:rsidRPr="003B2899">
        <w:rPr>
          <w:rStyle w:val="nfasis"/>
          <w:i w:val="0"/>
          <w:iCs w:val="0"/>
          <w:lang w:val="en-US"/>
        </w:rPr>
        <w:t>Blanpain</w:t>
      </w:r>
      <w:proofErr w:type="spellEnd"/>
      <w:r w:rsidRPr="003B2899">
        <w:rPr>
          <w:rStyle w:val="nfasis"/>
          <w:i w:val="0"/>
          <w:iCs w:val="0"/>
          <w:lang w:val="en-US"/>
        </w:rPr>
        <w:t xml:space="preserve"> </w:t>
      </w:r>
      <w:r w:rsidR="004404A8" w:rsidRPr="003B2899">
        <w:rPr>
          <w:rStyle w:val="nfasis"/>
          <w:i w:val="0"/>
          <w:iCs w:val="0"/>
          <w:lang w:val="en-US"/>
        </w:rPr>
        <w:t xml:space="preserve">y Chardon, 2010 </w:t>
      </w:r>
      <w:r w:rsidRPr="003B2899">
        <w:rPr>
          <w:lang w:val="en-US"/>
        </w:rPr>
        <w:t xml:space="preserve">). Sin embargo, más allá del acceso más frecuente a la vejez y su contribución al envejecimiento de la población, </w:t>
      </w:r>
      <w:r w:rsidRPr="003B2899">
        <w:rPr>
          <w:rStyle w:val="Textoennegrita"/>
          <w:b w:val="0"/>
          <w:bCs w:val="0"/>
          <w:lang w:val="en-US"/>
        </w:rPr>
        <w:t xml:space="preserve">una mayor expectativa de vida transforma profundamente todo el proceso de crecimiento y envejecimiento, así como la importancia social de las diferentes etapas de la vida y las interacciones entre los grupos de edad </w:t>
      </w:r>
      <w:r w:rsidRPr="003B2899">
        <w:rPr>
          <w:lang w:val="en-US"/>
        </w:rPr>
        <w:t>.</w:t>
      </w:r>
    </w:p>
    <w:p w14:paraId="4B9CF449" w14:textId="1EE145C5" w:rsidR="008B5FF6" w:rsidRPr="003B2899" w:rsidRDefault="008B5FF6" w:rsidP="00E35C19">
      <w:pPr>
        <w:spacing w:before="0" w:after="0" w:line="360" w:lineRule="auto"/>
        <w:ind w:firstLine="709"/>
        <w:jc w:val="both"/>
        <w:rPr>
          <w:lang w:val="en-US"/>
        </w:rPr>
      </w:pPr>
      <w:r w:rsidRPr="003B2899">
        <w:rPr>
          <w:lang w:val="en-US"/>
        </w:rPr>
        <w:t xml:space="preserve">Pensar en </w:t>
      </w:r>
      <w:r w:rsidRPr="003B2899">
        <w:rPr>
          <w:rStyle w:val="Textoennegrita"/>
          <w:b w:val="0"/>
          <w:bCs w:val="0"/>
          <w:lang w:val="en-US"/>
        </w:rPr>
        <w:t xml:space="preserve">la longevidad y sus implicaciones </w:t>
      </w:r>
      <w:r w:rsidR="00EF72CC" w:rsidRPr="003B2899">
        <w:rPr>
          <w:lang w:val="en-US"/>
        </w:rPr>
        <w:t xml:space="preserve">, más allá de la vejez en sí, requiere </w:t>
      </w:r>
      <w:r w:rsidRPr="003B2899">
        <w:rPr>
          <w:rStyle w:val="Textoennegrita"/>
          <w:b w:val="0"/>
          <w:bCs w:val="0"/>
          <w:lang w:val="en-US"/>
        </w:rPr>
        <w:t xml:space="preserve">romper con las categorías de edad rígidas </w:t>
      </w:r>
      <w:r w:rsidRPr="003B2899">
        <w:rPr>
          <w:lang w:val="en-US"/>
        </w:rPr>
        <w:t xml:space="preserve">y alejarse de una </w:t>
      </w:r>
      <w:r w:rsidRPr="003B2899">
        <w:rPr>
          <w:rStyle w:val="Textoennegrita"/>
          <w:b w:val="0"/>
          <w:bCs w:val="0"/>
          <w:lang w:val="en-US"/>
        </w:rPr>
        <w:t xml:space="preserve">concepción estática de la edad y el </w:t>
      </w:r>
      <w:r w:rsidRPr="003B2899">
        <w:rPr>
          <w:rStyle w:val="Textoennegrita"/>
          <w:b w:val="0"/>
          <w:bCs w:val="0"/>
          <w:lang w:val="en-US"/>
        </w:rPr>
        <w:lastRenderedPageBreak/>
        <w:t xml:space="preserve">envejecimiento </w:t>
      </w:r>
      <w:r w:rsidR="00EC1EFB" w:rsidRPr="003B2899">
        <w:rPr>
          <w:lang w:val="en-US"/>
        </w:rPr>
        <w:t xml:space="preserve">para adoptar un </w:t>
      </w:r>
      <w:r w:rsidRPr="003B2899">
        <w:rPr>
          <w:rStyle w:val="Textoennegrita"/>
          <w:b w:val="0"/>
          <w:bCs w:val="0"/>
          <w:lang w:val="en-US"/>
        </w:rPr>
        <w:t xml:space="preserve">enfoque del ciclo de vida </w:t>
      </w:r>
      <w:r w:rsidRPr="003B2899">
        <w:rPr>
          <w:lang w:val="en-US"/>
        </w:rPr>
        <w:t xml:space="preserve">. Esta perspectiva exige examinar las </w:t>
      </w:r>
      <w:r w:rsidRPr="003B2899">
        <w:rPr>
          <w:rStyle w:val="Textoennegrita"/>
          <w:b w:val="0"/>
          <w:bCs w:val="0"/>
          <w:lang w:val="en-US"/>
        </w:rPr>
        <w:t xml:space="preserve">nuevas formas en que el tiempo social se distribuye </w:t>
      </w:r>
      <w:r w:rsidRPr="003B2899">
        <w:rPr>
          <w:lang w:val="en-US"/>
        </w:rPr>
        <w:t xml:space="preserve">a lo largo de toda la vida —entre </w:t>
      </w:r>
      <w:r w:rsidRPr="003B2899">
        <w:rPr>
          <w:rStyle w:val="Textoennegrita"/>
          <w:b w:val="0"/>
          <w:bCs w:val="0"/>
          <w:lang w:val="en-US"/>
        </w:rPr>
        <w:t xml:space="preserve">la educación, el trabajo, el tiempo personal y el cuidado de los demás— </w:t>
      </w:r>
      <w:r w:rsidR="00EF72CC" w:rsidRPr="003B2899">
        <w:rPr>
          <w:lang w:val="en-US"/>
        </w:rPr>
        <w:t xml:space="preserve">, a medida que la prolongación de la vida introduce </w:t>
      </w:r>
      <w:r w:rsidRPr="003B2899">
        <w:rPr>
          <w:rStyle w:val="Textoennegrita"/>
          <w:b w:val="0"/>
          <w:bCs w:val="0"/>
          <w:lang w:val="en-US"/>
        </w:rPr>
        <w:t xml:space="preserve">un nuevo marco temporal </w:t>
      </w:r>
      <w:r w:rsidRPr="003B2899">
        <w:rPr>
          <w:lang w:val="en-US"/>
        </w:rPr>
        <w:t xml:space="preserve">. También </w:t>
      </w:r>
      <w:r w:rsidRPr="003B2899">
        <w:rPr>
          <w:rStyle w:val="Textoennegrita"/>
          <w:b w:val="0"/>
          <w:bCs w:val="0"/>
          <w:lang w:val="en-US"/>
        </w:rPr>
        <w:t xml:space="preserve">desafía los sistemas actuales de protección social </w:t>
      </w:r>
      <w:r w:rsidRPr="003B2899">
        <w:rPr>
          <w:lang w:val="en-US"/>
        </w:rPr>
        <w:t xml:space="preserve">, cuestionando cómo las sociedades gestionan </w:t>
      </w:r>
      <w:r w:rsidRPr="003B2899">
        <w:rPr>
          <w:rStyle w:val="Textoennegrita"/>
          <w:b w:val="0"/>
          <w:bCs w:val="0"/>
          <w:lang w:val="en-US"/>
        </w:rPr>
        <w:t xml:space="preserve">los riesgos sociales, la seguridad y el bienestar a largo plazo </w:t>
      </w:r>
      <w:r w:rsidRPr="003B2899">
        <w:rPr>
          <w:lang w:val="en-US"/>
        </w:rPr>
        <w:t xml:space="preserve">a lo largo de una vida prolongada. En resumen, </w:t>
      </w:r>
      <w:r w:rsidRPr="003B2899">
        <w:rPr>
          <w:rStyle w:val="Textoennegrita"/>
          <w:b w:val="0"/>
          <w:bCs w:val="0"/>
          <w:lang w:val="en-US"/>
        </w:rPr>
        <w:t xml:space="preserve">el aumento de la esperanza de vida entre los adultos genera profundas </w:t>
      </w:r>
      <w:proofErr w:type="spellStart"/>
      <w:r w:rsidRPr="003B2899">
        <w:rPr>
          <w:rStyle w:val="Textoennegrita"/>
          <w:b w:val="0"/>
          <w:bCs w:val="0"/>
          <w:lang w:val="en-US"/>
        </w:rPr>
        <w:t>transformaciones</w:t>
      </w:r>
      <w:proofErr w:type="spellEnd"/>
      <w:r w:rsidRPr="003B2899">
        <w:rPr>
          <w:rStyle w:val="Textoennegrita"/>
          <w:b w:val="0"/>
          <w:bCs w:val="0"/>
          <w:lang w:val="en-US"/>
        </w:rPr>
        <w:t xml:space="preserve"> </w:t>
      </w:r>
      <w:proofErr w:type="spellStart"/>
      <w:r w:rsidRPr="003B2899">
        <w:rPr>
          <w:rStyle w:val="Textoennegrita"/>
          <w:b w:val="0"/>
          <w:bCs w:val="0"/>
          <w:lang w:val="en-US"/>
        </w:rPr>
        <w:t>sociales</w:t>
      </w:r>
      <w:proofErr w:type="spellEnd"/>
      <w:r w:rsidRPr="003B2899">
        <w:rPr>
          <w:rStyle w:val="Textoennegrita"/>
          <w:b w:val="0"/>
          <w:bCs w:val="0"/>
          <w:lang w:val="en-US"/>
        </w:rPr>
        <w:t xml:space="preserve"> e </w:t>
      </w:r>
      <w:proofErr w:type="spellStart"/>
      <w:r w:rsidRPr="003B2899">
        <w:rPr>
          <w:rStyle w:val="Textoennegrita"/>
          <w:b w:val="0"/>
          <w:bCs w:val="0"/>
          <w:lang w:val="en-US"/>
        </w:rPr>
        <w:t>individuales</w:t>
      </w:r>
      <w:proofErr w:type="spellEnd"/>
      <w:r w:rsidRPr="003B2899">
        <w:rPr>
          <w:rStyle w:val="Textoennegrita"/>
          <w:b w:val="0"/>
          <w:bCs w:val="0"/>
          <w:lang w:val="en-US"/>
        </w:rPr>
        <w:t xml:space="preserve"> ( </w:t>
      </w:r>
      <w:proofErr w:type="spellStart"/>
      <w:r w:rsidRPr="003B2899">
        <w:rPr>
          <w:rStyle w:val="Textoennegrita"/>
          <w:b w:val="0"/>
          <w:bCs w:val="0"/>
          <w:lang w:val="en-US"/>
        </w:rPr>
        <w:t>Guillemard</w:t>
      </w:r>
      <w:proofErr w:type="spellEnd"/>
      <w:r w:rsidRPr="003B2899">
        <w:rPr>
          <w:rStyle w:val="Textoennegrita"/>
          <w:b w:val="0"/>
          <w:bCs w:val="0"/>
          <w:lang w:val="en-US"/>
        </w:rPr>
        <w:t xml:space="preserve"> y Mascova , 2017) </w:t>
      </w:r>
      <w:r w:rsidRPr="003B2899">
        <w:rPr>
          <w:lang w:val="en-US"/>
        </w:rPr>
        <w:t>.</w:t>
      </w:r>
    </w:p>
    <w:p w14:paraId="100050D9" w14:textId="0E75D007" w:rsidR="00A83118" w:rsidRPr="003B2899" w:rsidRDefault="00EC1EFB" w:rsidP="00E35C19">
      <w:pPr>
        <w:spacing w:before="0" w:after="0" w:line="360" w:lineRule="auto"/>
        <w:ind w:firstLine="709"/>
        <w:jc w:val="both"/>
        <w:rPr>
          <w:lang w:val="en-US"/>
        </w:rPr>
      </w:pPr>
      <w:r w:rsidRPr="003B2899">
        <w:rPr>
          <w:lang w:val="en-US"/>
        </w:rPr>
        <w:t xml:space="preserve">En este contexto, la transición demográfica, caracterizada por </w:t>
      </w:r>
      <w:r w:rsidR="00A83118" w:rsidRPr="003B2899">
        <w:rPr>
          <w:rStyle w:val="Textoennegrita"/>
          <w:b w:val="0"/>
          <w:bCs w:val="0"/>
          <w:lang w:val="en-US"/>
        </w:rPr>
        <w:t xml:space="preserve">una mayor esperanza de vida y el envejecimiento de la población </w:t>
      </w:r>
      <w:r w:rsidR="00A83118" w:rsidRPr="003B2899">
        <w:rPr>
          <w:lang w:val="en-US"/>
        </w:rPr>
        <w:t>, presenta tanto oportunidades como desafíos para las sociedades de todo el mundo. La Agenda 2030 para el Desarrollo Sostenible de las Naciones Unidas promueve el principio de " no dejar a nadie atrás", integrando a las poblaciones de mayor edad en los discursos políticos sobre inclusión y participación (Naciones Unidas, 2015).</w:t>
      </w:r>
    </w:p>
    <w:p w14:paraId="6E6C6F88" w14:textId="2D66062F" w:rsidR="00ED55CE" w:rsidRPr="003B2899" w:rsidRDefault="00707640" w:rsidP="00E35C19">
      <w:pPr>
        <w:spacing w:before="0" w:after="0" w:line="360" w:lineRule="auto"/>
        <w:ind w:firstLine="709"/>
        <w:jc w:val="both"/>
        <w:rPr>
          <w:lang w:val="en-US"/>
        </w:rPr>
      </w:pPr>
      <w:r w:rsidRPr="003B2899">
        <w:rPr>
          <w:lang w:val="en-US"/>
        </w:rPr>
        <w:t xml:space="preserve">A medida que aumenta la esperanza de vida, surgen dilemas éticos con respecto a la discriminación por edad y las oportunidades dentro del mercado laboral, pero también con respecto </w:t>
      </w:r>
      <w:r w:rsidRPr="003B2899">
        <w:rPr>
          <w:rStyle w:val="Textoennegrita"/>
          <w:b w:val="0"/>
          <w:bCs w:val="0"/>
          <w:lang w:val="en-US"/>
        </w:rPr>
        <w:t xml:space="preserve">al acceso a la atención médica, la vida social y las opciones al final de la vida </w:t>
      </w:r>
      <w:r w:rsidRPr="003B2899">
        <w:rPr>
          <w:lang w:val="en-US"/>
        </w:rPr>
        <w:t xml:space="preserve">. La inclusión se enmarca no solo como agregar años a la vida, sino como mejorar la calidad de esos años, asegurando que ningún grupo se quede atrás. Garantizar el acceso igualitario a la longevidad es un desafío clave de justicia social, que requiere políticas que mitiguen las disparidades en salud, seguridad económica y participación social. </w:t>
      </w:r>
      <w:r w:rsidR="00ED55CE" w:rsidRPr="003B2899">
        <w:rPr>
          <w:rStyle w:val="Textoennegrita"/>
          <w:b w:val="0"/>
          <w:bCs w:val="0"/>
          <w:lang w:val="en-US"/>
        </w:rPr>
        <w:t xml:space="preserve">Las tecnologías de la salud deben mejorar la calidad de vida, no solo extender la esperanza de vida </w:t>
      </w:r>
      <w:r w:rsidR="00ED55CE" w:rsidRPr="003B2899">
        <w:rPr>
          <w:lang w:val="en-US"/>
        </w:rPr>
        <w:t xml:space="preserve">, lo que refuerza la importancia de las consideraciones éticas en los avances médicos. Según </w:t>
      </w:r>
      <w:r w:rsidRPr="003B2899">
        <w:rPr>
          <w:rStyle w:val="Textoennegrita"/>
          <w:b w:val="0"/>
          <w:bCs w:val="0"/>
          <w:lang w:val="en-US"/>
        </w:rPr>
        <w:t xml:space="preserve">la Declaración Universal sobre Bioética y Derechos Humanos de la UNESCO (2005) </w:t>
      </w:r>
      <w:r w:rsidRPr="003B2899">
        <w:rPr>
          <w:lang w:val="en-US"/>
        </w:rPr>
        <w:t xml:space="preserve">, las </w:t>
      </w:r>
      <w:r w:rsidRPr="003B2899">
        <w:rPr>
          <w:rStyle w:val="Textoennegrita"/>
          <w:b w:val="0"/>
          <w:bCs w:val="0"/>
          <w:lang w:val="en-US"/>
        </w:rPr>
        <w:t xml:space="preserve">personas mayores deben tener autonomía en las decisiones de atención médica </w:t>
      </w:r>
      <w:r w:rsidRPr="003B2899">
        <w:rPr>
          <w:lang w:val="en-US"/>
        </w:rPr>
        <w:t xml:space="preserve">, pero muchas se enfrentan al paternalismo médico. </w:t>
      </w:r>
      <w:r w:rsidRPr="003B2899">
        <w:rPr>
          <w:rStyle w:val="Textoennegrita"/>
          <w:b w:val="0"/>
          <w:bCs w:val="0"/>
          <w:lang w:val="en-US"/>
        </w:rPr>
        <w:t xml:space="preserve">La longevidad debe ir acompañada de dignidad </w:t>
      </w:r>
      <w:r w:rsidRPr="003B2899">
        <w:rPr>
          <w:lang w:val="en-US"/>
        </w:rPr>
        <w:t xml:space="preserve">, asegurando que la esperanza de vida prolongada no se traduzca en sufrimiento prolongado. Por lo tanto, el </w:t>
      </w:r>
      <w:r w:rsidRPr="003B2899">
        <w:rPr>
          <w:rStyle w:val="Textoennegrita"/>
          <w:b w:val="0"/>
          <w:bCs w:val="0"/>
          <w:lang w:val="en-US"/>
        </w:rPr>
        <w:t xml:space="preserve">“Informe sobre Salud y Justicia Social” de la UNESCO de 2019 </w:t>
      </w:r>
      <w:r w:rsidRPr="003B2899">
        <w:rPr>
          <w:lang w:val="en-US"/>
        </w:rPr>
        <w:t xml:space="preserve">también destaca que la ciudadanía sostenible debe abordar estas desigualdades a través de </w:t>
      </w:r>
      <w:r w:rsidRPr="003B2899">
        <w:rPr>
          <w:rStyle w:val="Textoennegrita"/>
          <w:b w:val="0"/>
          <w:bCs w:val="0"/>
          <w:lang w:val="en-US"/>
        </w:rPr>
        <w:t xml:space="preserve">políticas de salud inclusivas que prioricen el bienestar sobre la mera supervivencia </w:t>
      </w:r>
      <w:r w:rsidRPr="003B2899">
        <w:rPr>
          <w:lang w:val="en-US"/>
        </w:rPr>
        <w:t xml:space="preserve">. La </w:t>
      </w:r>
      <w:r w:rsidR="00ED55CE" w:rsidRPr="003B2899">
        <w:rPr>
          <w:rStyle w:val="Textoennegrita"/>
          <w:b w:val="0"/>
          <w:bCs w:val="0"/>
          <w:lang w:val="en-US"/>
        </w:rPr>
        <w:t xml:space="preserve">ciudadanía sostenible debe extenderse más allá de los derechos económicos y políticos para incluir la equidad en materia de salud y la autonomía personal </w:t>
      </w:r>
      <w:r w:rsidR="00ED55CE" w:rsidRPr="003B2899">
        <w:rPr>
          <w:lang w:val="en-US"/>
        </w:rPr>
        <w:t>.</w:t>
      </w:r>
    </w:p>
    <w:p w14:paraId="7C3E91AC" w14:textId="3E0806B3" w:rsidR="008F5DF5" w:rsidRDefault="00ED55CE" w:rsidP="00E35C19">
      <w:pPr>
        <w:spacing w:before="0" w:after="0" w:line="360" w:lineRule="auto"/>
        <w:ind w:firstLine="709"/>
        <w:jc w:val="both"/>
        <w:rPr>
          <w:lang w:val="en-US"/>
        </w:rPr>
      </w:pPr>
      <w:r w:rsidRPr="003B2899">
        <w:rPr>
          <w:lang w:val="en-US"/>
        </w:rPr>
        <w:lastRenderedPageBreak/>
        <w:t xml:space="preserve">La transición demográfica está transformando </w:t>
      </w:r>
      <w:r w:rsidRPr="003B2899">
        <w:rPr>
          <w:rStyle w:val="Textoennegrita"/>
          <w:b w:val="0"/>
          <w:bCs w:val="0"/>
          <w:lang w:val="en-US"/>
        </w:rPr>
        <w:t xml:space="preserve">las relaciones intergeneracionales </w:t>
      </w:r>
      <w:r w:rsidRPr="003B2899">
        <w:rPr>
          <w:lang w:val="en-US"/>
        </w:rPr>
        <w:t xml:space="preserve">y requiere nuevos enfoques de </w:t>
      </w:r>
      <w:r w:rsidRPr="003B2899">
        <w:rPr>
          <w:rStyle w:val="Textoennegrita"/>
          <w:b w:val="0"/>
          <w:bCs w:val="0"/>
          <w:lang w:val="en-US"/>
        </w:rPr>
        <w:t xml:space="preserve">cooperación entre las generaciones más jóvenes y mayores </w:t>
      </w:r>
      <w:r w:rsidRPr="003B2899">
        <w:rPr>
          <w:lang w:val="en-US"/>
        </w:rPr>
        <w:t xml:space="preserve">. Las crecientes </w:t>
      </w:r>
      <w:r w:rsidRPr="003B2899">
        <w:rPr>
          <w:rStyle w:val="Textoennegrita"/>
          <w:b w:val="0"/>
          <w:bCs w:val="0"/>
          <w:lang w:val="en-US"/>
        </w:rPr>
        <w:t xml:space="preserve">fracturas sociales </w:t>
      </w:r>
      <w:r w:rsidRPr="003B2899">
        <w:rPr>
          <w:lang w:val="en-US"/>
        </w:rPr>
        <w:t xml:space="preserve">entre los grupos de edad, exacerbadas por la distribución desigual de los recursos y los sesgos políticos, aparecen cada vez </w:t>
      </w:r>
      <w:proofErr w:type="spellStart"/>
      <w:r w:rsidRPr="003B2899">
        <w:rPr>
          <w:lang w:val="en-US"/>
        </w:rPr>
        <w:t>más</w:t>
      </w:r>
      <w:proofErr w:type="spellEnd"/>
      <w:r w:rsidRPr="003B2899">
        <w:rPr>
          <w:lang w:val="en-US"/>
        </w:rPr>
        <w:t xml:space="preserve"> </w:t>
      </w:r>
      <w:proofErr w:type="spellStart"/>
      <w:r w:rsidRPr="003B2899">
        <w:rPr>
          <w:lang w:val="en-US"/>
        </w:rPr>
        <w:t>como</w:t>
      </w:r>
      <w:proofErr w:type="spellEnd"/>
      <w:r w:rsidRPr="003B2899">
        <w:rPr>
          <w:lang w:val="en-US"/>
        </w:rPr>
        <w:t xml:space="preserve"> un </w:t>
      </w:r>
      <w:proofErr w:type="spellStart"/>
      <w:r w:rsidRPr="003B2899">
        <w:rPr>
          <w:lang w:val="en-US"/>
        </w:rPr>
        <w:t>desafío</w:t>
      </w:r>
      <w:proofErr w:type="spellEnd"/>
      <w:r w:rsidRPr="003B2899">
        <w:rPr>
          <w:lang w:val="en-US"/>
        </w:rPr>
        <w:t xml:space="preserve"> para las </w:t>
      </w:r>
      <w:proofErr w:type="spellStart"/>
      <w:r w:rsidRPr="003B2899">
        <w:rPr>
          <w:lang w:val="en-US"/>
        </w:rPr>
        <w:t>democracias</w:t>
      </w:r>
      <w:proofErr w:type="spellEnd"/>
      <w:r w:rsidRPr="003B2899">
        <w:rPr>
          <w:lang w:val="en-US"/>
        </w:rPr>
        <w:t xml:space="preserve"> . La reciente reforma de las pensiones en Francia, llevada a cabo en 2023, sacó a la luz intensos debates sobre los niveles de ingresos y el bienestar de los diferentes grupos de edad (Gannon y otros, 2023). </w:t>
      </w:r>
      <w:proofErr w:type="spellStart"/>
      <w:r w:rsidR="00191A2A" w:rsidRPr="003B2899">
        <w:rPr>
          <w:lang w:val="en-US"/>
        </w:rPr>
        <w:t>Según</w:t>
      </w:r>
      <w:proofErr w:type="spellEnd"/>
      <w:r w:rsidR="00191A2A" w:rsidRPr="003B2899">
        <w:rPr>
          <w:lang w:val="en-US"/>
        </w:rPr>
        <w:t xml:space="preserve"> la </w:t>
      </w:r>
      <w:proofErr w:type="spellStart"/>
      <w:r w:rsidR="00191A2A" w:rsidRPr="003B2899">
        <w:rPr>
          <w:lang w:val="en-US"/>
        </w:rPr>
        <w:t>Resolución</w:t>
      </w:r>
      <w:proofErr w:type="spellEnd"/>
      <w:r w:rsidR="00191A2A" w:rsidRPr="003B2899">
        <w:rPr>
          <w:lang w:val="en-US"/>
        </w:rPr>
        <w:t xml:space="preserve"> de la ONU </w:t>
      </w:r>
      <w:r w:rsidRPr="003B2899">
        <w:rPr>
          <w:rStyle w:val="Textoennegrita"/>
          <w:b w:val="0"/>
          <w:bCs w:val="0"/>
          <w:lang w:val="en-US"/>
        </w:rPr>
        <w:t>“</w:t>
      </w:r>
      <w:proofErr w:type="spellStart"/>
      <w:r w:rsidRPr="003B2899">
        <w:rPr>
          <w:rStyle w:val="Textoennegrita"/>
          <w:b w:val="0"/>
          <w:bCs w:val="0"/>
          <w:lang w:val="en-US"/>
        </w:rPr>
        <w:t>Promoción</w:t>
      </w:r>
      <w:proofErr w:type="spellEnd"/>
      <w:r w:rsidRPr="003B2899">
        <w:rPr>
          <w:rStyle w:val="Textoennegrita"/>
          <w:b w:val="0"/>
          <w:bCs w:val="0"/>
          <w:lang w:val="en-US"/>
        </w:rPr>
        <w:t xml:space="preserve"> </w:t>
      </w:r>
      <w:r w:rsidR="00191A2A" w:rsidRPr="003B2899">
        <w:rPr>
          <w:rStyle w:val="Textoennegrita"/>
          <w:b w:val="0"/>
          <w:bCs w:val="0"/>
          <w:lang w:val="en-US"/>
        </w:rPr>
        <w:t xml:space="preserve">de la </w:t>
      </w:r>
      <w:proofErr w:type="spellStart"/>
      <w:r w:rsidR="00191A2A" w:rsidRPr="003B2899">
        <w:rPr>
          <w:rStyle w:val="Textoennegrita"/>
          <w:b w:val="0"/>
          <w:bCs w:val="0"/>
          <w:lang w:val="en-US"/>
        </w:rPr>
        <w:t>integración</w:t>
      </w:r>
      <w:proofErr w:type="spellEnd"/>
      <w:r w:rsidR="00191A2A" w:rsidRPr="003B2899">
        <w:rPr>
          <w:rStyle w:val="Textoennegrita"/>
          <w:b w:val="0"/>
          <w:bCs w:val="0"/>
          <w:lang w:val="en-US"/>
        </w:rPr>
        <w:t xml:space="preserve"> social </w:t>
      </w:r>
      <w:proofErr w:type="spellStart"/>
      <w:r w:rsidR="00191A2A" w:rsidRPr="003B2899">
        <w:rPr>
          <w:rStyle w:val="Textoennegrita"/>
          <w:b w:val="0"/>
          <w:bCs w:val="0"/>
          <w:lang w:val="en-US"/>
        </w:rPr>
        <w:t>mediante</w:t>
      </w:r>
      <w:proofErr w:type="spellEnd"/>
      <w:r w:rsidR="00191A2A" w:rsidRPr="003B2899">
        <w:rPr>
          <w:rStyle w:val="Textoennegrita"/>
          <w:b w:val="0"/>
          <w:bCs w:val="0"/>
          <w:lang w:val="en-US"/>
        </w:rPr>
        <w:t xml:space="preserve"> la </w:t>
      </w:r>
      <w:proofErr w:type="spellStart"/>
      <w:r w:rsidR="00191A2A" w:rsidRPr="003B2899">
        <w:rPr>
          <w:rStyle w:val="Textoennegrita"/>
          <w:b w:val="0"/>
          <w:bCs w:val="0"/>
          <w:lang w:val="en-US"/>
        </w:rPr>
        <w:t>inclusión</w:t>
      </w:r>
      <w:proofErr w:type="spellEnd"/>
      <w:r w:rsidR="00191A2A" w:rsidRPr="003B2899">
        <w:rPr>
          <w:rStyle w:val="Textoennegrita"/>
          <w:b w:val="0"/>
          <w:bCs w:val="0"/>
          <w:lang w:val="en-US"/>
        </w:rPr>
        <w:t xml:space="preserve"> social” (2021) </w:t>
      </w:r>
      <w:r w:rsidRPr="003B2899">
        <w:rPr>
          <w:lang w:val="en-US"/>
        </w:rPr>
        <w:t xml:space="preserve">, </w:t>
      </w:r>
      <w:proofErr w:type="spellStart"/>
      <w:r w:rsidRPr="003B2899">
        <w:rPr>
          <w:lang w:val="en-US"/>
        </w:rPr>
        <w:t>los</w:t>
      </w:r>
      <w:proofErr w:type="spellEnd"/>
      <w:r w:rsidRPr="003B2899">
        <w:rPr>
          <w:lang w:val="en-US"/>
        </w:rPr>
        <w:t xml:space="preserve"> </w:t>
      </w:r>
      <w:proofErr w:type="spellStart"/>
      <w:r w:rsidRPr="003B2899">
        <w:rPr>
          <w:lang w:val="en-US"/>
        </w:rPr>
        <w:t>gobiernos</w:t>
      </w:r>
      <w:proofErr w:type="spellEnd"/>
      <w:r w:rsidRPr="003B2899">
        <w:rPr>
          <w:lang w:val="en-US"/>
        </w:rPr>
        <w:t xml:space="preserve"> </w:t>
      </w:r>
      <w:proofErr w:type="spellStart"/>
      <w:r w:rsidRPr="003B2899">
        <w:rPr>
          <w:lang w:val="en-US"/>
        </w:rPr>
        <w:t>tendrán</w:t>
      </w:r>
      <w:proofErr w:type="spellEnd"/>
      <w:r w:rsidRPr="003B2899">
        <w:rPr>
          <w:lang w:val="en-US"/>
        </w:rPr>
        <w:t xml:space="preserve"> que </w:t>
      </w:r>
      <w:proofErr w:type="spellStart"/>
      <w:r w:rsidRPr="003B2899">
        <w:rPr>
          <w:lang w:val="en-US"/>
        </w:rPr>
        <w:t>abordar</w:t>
      </w:r>
      <w:proofErr w:type="spellEnd"/>
      <w:r w:rsidRPr="003B2899">
        <w:rPr>
          <w:lang w:val="en-US"/>
        </w:rPr>
        <w:t xml:space="preserve"> </w:t>
      </w:r>
      <w:proofErr w:type="spellStart"/>
      <w:r w:rsidRPr="003B2899">
        <w:rPr>
          <w:lang w:val="en-US"/>
        </w:rPr>
        <w:t>los</w:t>
      </w:r>
      <w:proofErr w:type="spellEnd"/>
      <w:r w:rsidRPr="003B2899">
        <w:rPr>
          <w:lang w:val="en-US"/>
        </w:rPr>
        <w:t xml:space="preserve"> </w:t>
      </w:r>
      <w:proofErr w:type="spellStart"/>
      <w:r w:rsidRPr="003B2899">
        <w:rPr>
          <w:lang w:val="en-US"/>
        </w:rPr>
        <w:t>problemas</w:t>
      </w:r>
      <w:proofErr w:type="spellEnd"/>
      <w:r w:rsidRPr="003B2899">
        <w:rPr>
          <w:lang w:val="en-US"/>
        </w:rPr>
        <w:t xml:space="preserve"> de </w:t>
      </w:r>
      <w:proofErr w:type="spellStart"/>
      <w:r w:rsidRPr="003B2899">
        <w:rPr>
          <w:rStyle w:val="Textoennegrita"/>
          <w:b w:val="0"/>
          <w:bCs w:val="0"/>
          <w:lang w:val="en-US"/>
        </w:rPr>
        <w:t>los</w:t>
      </w:r>
      <w:proofErr w:type="spellEnd"/>
      <w:r w:rsidRPr="003B2899">
        <w:rPr>
          <w:rStyle w:val="Textoennegrita"/>
          <w:b w:val="0"/>
          <w:bCs w:val="0"/>
          <w:lang w:val="en-US"/>
        </w:rPr>
        <w:t xml:space="preserve"> conflictos intergeneracionales sobre las pensiones, la atención médica y las oportunidades laborales en la próxima década </w:t>
      </w:r>
      <w:r w:rsidRPr="003B2899">
        <w:rPr>
          <w:lang w:val="en-US"/>
        </w:rPr>
        <w:t xml:space="preserve">. El informe de la UNESCO “Liberar el potencial del </w:t>
      </w:r>
      <w:r w:rsidR="00191A2A" w:rsidRPr="003B2899">
        <w:rPr>
          <w:rStyle w:val="Textoennegrita"/>
          <w:b w:val="0"/>
          <w:bCs w:val="0"/>
          <w:lang w:val="en-US"/>
        </w:rPr>
        <w:t xml:space="preserve">aprendizaje familiar e intergeneracional” (2020) </w:t>
      </w:r>
      <w:r w:rsidRPr="003B2899">
        <w:rPr>
          <w:lang w:val="en-US"/>
        </w:rPr>
        <w:t xml:space="preserve">también recomienda políticas que </w:t>
      </w:r>
      <w:r w:rsidRPr="003B2899">
        <w:rPr>
          <w:rStyle w:val="Textoennegrita"/>
          <w:b w:val="0"/>
          <w:bCs w:val="0"/>
          <w:lang w:val="en-US"/>
        </w:rPr>
        <w:t xml:space="preserve">superen las brechas generacionales </w:t>
      </w:r>
      <w:r w:rsidRPr="003B2899">
        <w:rPr>
          <w:lang w:val="en-US"/>
        </w:rPr>
        <w:t>, garantizando que los conocimientos, las experiencias y las responsabilidades se compartan entre los grupos de edad.</w:t>
      </w:r>
    </w:p>
    <w:p w14:paraId="7C72DAA7" w14:textId="77777777" w:rsidR="005152FD" w:rsidRDefault="005152FD" w:rsidP="00E35C19">
      <w:pPr>
        <w:spacing w:before="0" w:after="0" w:line="360" w:lineRule="auto"/>
        <w:ind w:firstLine="709"/>
        <w:jc w:val="both"/>
        <w:rPr>
          <w:lang w:val="en-US"/>
        </w:rPr>
      </w:pPr>
    </w:p>
    <w:p w14:paraId="701542DA" w14:textId="77777777" w:rsidR="005152FD" w:rsidRDefault="005152FD" w:rsidP="00E35C19">
      <w:pPr>
        <w:spacing w:before="0" w:after="0" w:line="360" w:lineRule="auto"/>
        <w:ind w:firstLine="709"/>
        <w:jc w:val="both"/>
        <w:rPr>
          <w:lang w:val="en-US"/>
        </w:rPr>
      </w:pPr>
    </w:p>
    <w:p w14:paraId="41F7EBBE" w14:textId="77777777" w:rsidR="00E35C19" w:rsidRPr="003B2899" w:rsidRDefault="00E35C19" w:rsidP="00E35C19">
      <w:pPr>
        <w:spacing w:line="276" w:lineRule="auto"/>
        <w:ind w:firstLine="709"/>
        <w:jc w:val="both"/>
        <w:rPr>
          <w:lang w:val="en-US"/>
        </w:rPr>
      </w:pPr>
    </w:p>
    <w:p w14:paraId="07677CD5" w14:textId="14E6D13A" w:rsidR="008F5DF5" w:rsidRPr="00E35C19" w:rsidRDefault="008F5DF5" w:rsidP="00E35C19">
      <w:pPr>
        <w:pStyle w:val="Ttulo2"/>
        <w:numPr>
          <w:ilvl w:val="1"/>
          <w:numId w:val="15"/>
        </w:numPr>
        <w:spacing w:line="276" w:lineRule="auto"/>
        <w:jc w:val="center"/>
        <w:rPr>
          <w:sz w:val="28"/>
          <w:szCs w:val="28"/>
          <w:lang w:val="en-US"/>
        </w:rPr>
      </w:pPr>
      <w:bookmarkStart w:id="4" w:name="_Toc193356877"/>
      <w:r w:rsidRPr="00E35C19">
        <w:rPr>
          <w:sz w:val="28"/>
          <w:szCs w:val="28"/>
          <w:lang w:val="en-US"/>
        </w:rPr>
        <w:t xml:space="preserve">¿ </w:t>
      </w:r>
      <w:r w:rsidR="00F45F84" w:rsidRPr="00E35C19">
        <w:rPr>
          <w:sz w:val="28"/>
          <w:szCs w:val="28"/>
          <w:lang w:val="en-US"/>
        </w:rPr>
        <w:t xml:space="preserve">Hacia una “ciudadanía sostenible a lo largo de la </w:t>
      </w:r>
      <w:proofErr w:type="spellStart"/>
      <w:r w:rsidR="0011533A" w:rsidRPr="00E35C19">
        <w:rPr>
          <w:sz w:val="28"/>
          <w:szCs w:val="28"/>
          <w:lang w:val="en-US"/>
        </w:rPr>
        <w:t>vida</w:t>
      </w:r>
      <w:proofErr w:type="spellEnd"/>
      <w:r w:rsidR="0011533A" w:rsidRPr="00E35C19">
        <w:rPr>
          <w:sz w:val="28"/>
          <w:szCs w:val="28"/>
          <w:lang w:val="en-US"/>
        </w:rPr>
        <w:t xml:space="preserve"> </w:t>
      </w:r>
      <w:r w:rsidRPr="00E35C19">
        <w:rPr>
          <w:sz w:val="28"/>
          <w:szCs w:val="28"/>
          <w:lang w:val="en-US"/>
        </w:rPr>
        <w:t>”?</w:t>
      </w:r>
      <w:bookmarkEnd w:id="4"/>
    </w:p>
    <w:p w14:paraId="0C092B09" w14:textId="1C320FD9" w:rsidR="008B5FF6" w:rsidRPr="003B2899" w:rsidRDefault="008B5FF6" w:rsidP="00E35C19">
      <w:pPr>
        <w:spacing w:before="0" w:after="0" w:line="360" w:lineRule="auto"/>
        <w:ind w:firstLine="709"/>
        <w:jc w:val="both"/>
        <w:rPr>
          <w:b/>
          <w:bCs/>
          <w:lang w:val="en-US"/>
        </w:rPr>
      </w:pPr>
      <w:r w:rsidRPr="003B2899">
        <w:rPr>
          <w:lang w:val="en-US"/>
        </w:rPr>
        <w:t>A medida que el envejecimiento global se acelera a un ritmo sin precedentes, la transición demográfica en curso tiene profundas implicaciones para este objetivo y un compromiso renovado con la gobernanza inclusiva y la democracia participativa. Desde la perspectiva de</w:t>
      </w:r>
      <w:r w:rsidRPr="003B2899">
        <w:rPr>
          <w:b/>
          <w:bCs/>
          <w:lang w:val="en-US"/>
        </w:rPr>
        <w:t xml:space="preserve"> </w:t>
      </w:r>
      <w:r w:rsidRPr="003B2899">
        <w:rPr>
          <w:rStyle w:val="Textoennegrita"/>
          <w:b w:val="0"/>
          <w:bCs w:val="0"/>
          <w:lang w:val="en-US"/>
        </w:rPr>
        <w:t xml:space="preserve">ciudadanía activa y sostenible </w:t>
      </w:r>
      <w:r w:rsidRPr="003B2899">
        <w:rPr>
          <w:b/>
          <w:bCs/>
          <w:lang w:val="en-US"/>
        </w:rPr>
        <w:t xml:space="preserve">, </w:t>
      </w:r>
      <w:r w:rsidRPr="003B2899">
        <w:rPr>
          <w:lang w:val="en-US"/>
        </w:rPr>
        <w:t xml:space="preserve">plantea cuestiones críticas en cuanto a </w:t>
      </w:r>
      <w:r w:rsidRPr="003B2899">
        <w:rPr>
          <w:rStyle w:val="Textoennegrita"/>
          <w:b w:val="0"/>
          <w:bCs w:val="0"/>
          <w:lang w:val="en-US"/>
        </w:rPr>
        <w:t xml:space="preserve">la inclusión social, la participación económica, la solidaridad intergeneracional y la protección de los derechos </w:t>
      </w:r>
      <w:r w:rsidRPr="003B2899">
        <w:rPr>
          <w:b/>
          <w:bCs/>
          <w:lang w:val="en-US"/>
        </w:rPr>
        <w:t xml:space="preserve">. </w:t>
      </w:r>
      <w:r w:rsidRPr="003B2899">
        <w:rPr>
          <w:lang w:val="en-US"/>
        </w:rPr>
        <w:t>Basándose en</w:t>
      </w:r>
      <w:r w:rsidRPr="003B2899">
        <w:rPr>
          <w:b/>
          <w:bCs/>
          <w:lang w:val="en-US"/>
        </w:rPr>
        <w:t xml:space="preserve"> </w:t>
      </w:r>
      <w:r w:rsidRPr="003B2899">
        <w:rPr>
          <w:rStyle w:val="Textoennegrita"/>
          <w:b w:val="0"/>
          <w:bCs w:val="0"/>
          <w:lang w:val="en-US"/>
        </w:rPr>
        <w:t xml:space="preserve">Los informes de la UNESCO sobre sociedades inclusivas, aprendizaje a lo largo de la vida y justicia social </w:t>
      </w:r>
      <w:r w:rsidRPr="003B2899">
        <w:rPr>
          <w:b/>
          <w:bCs/>
          <w:lang w:val="en-US"/>
        </w:rPr>
        <w:t xml:space="preserve">, </w:t>
      </w:r>
      <w:r w:rsidRPr="003B2899">
        <w:rPr>
          <w:lang w:val="en-US"/>
        </w:rPr>
        <w:t>así como</w:t>
      </w:r>
      <w:r w:rsidRPr="003B2899">
        <w:rPr>
          <w:b/>
          <w:bCs/>
          <w:lang w:val="en-US"/>
        </w:rPr>
        <w:t xml:space="preserve"> </w:t>
      </w:r>
      <w:r w:rsidRPr="003B2899">
        <w:rPr>
          <w:rStyle w:val="Textoennegrita"/>
          <w:b w:val="0"/>
          <w:bCs w:val="0"/>
          <w:lang w:val="en-US"/>
        </w:rPr>
        <w:t xml:space="preserve">Informe mundial sobre el envejecimiento de 2020 y la Agenda de Educación 2030 de la UNESCO </w:t>
      </w:r>
      <w:r w:rsidRPr="003B2899">
        <w:rPr>
          <w:b/>
          <w:bCs/>
          <w:lang w:val="en-US"/>
        </w:rPr>
        <w:t xml:space="preserve">, </w:t>
      </w:r>
      <w:r w:rsidRPr="003B2899">
        <w:rPr>
          <w:lang w:val="en-US"/>
        </w:rPr>
        <w:t>este argumento explora cómo los cambios demográficos desafían los modelos tradicionales de ciudadanía y requieren adaptaciones estructurales.</w:t>
      </w:r>
    </w:p>
    <w:p w14:paraId="6182CFE3" w14:textId="30F86748" w:rsidR="00485A40" w:rsidRPr="003B2899" w:rsidRDefault="00485A40" w:rsidP="00E35C19">
      <w:pPr>
        <w:spacing w:before="0" w:after="0" w:line="360" w:lineRule="auto"/>
        <w:ind w:firstLine="709"/>
        <w:jc w:val="both"/>
        <w:rPr>
          <w:lang w:val="en-US" w:eastAsia="fr-FR"/>
        </w:rPr>
      </w:pPr>
      <w:r w:rsidRPr="003B2899">
        <w:rPr>
          <w:lang w:val="en-US" w:eastAsia="fr-FR"/>
        </w:rPr>
        <w:t xml:space="preserve">Abrimos un debate sobre las diferentes dimensiones de lo que denominamos "ciudadanía sostenible" desde una perspectiva integral. Examinamos vías teóricas y concretas para fomentar la participación de las personas mayores en los procesos democráticos y la inclusión social, como resultado de un proceso de larga duración que comienza en la </w:t>
      </w:r>
      <w:r w:rsidRPr="003B2899">
        <w:rPr>
          <w:lang w:val="en-US" w:eastAsia="fr-FR"/>
        </w:rPr>
        <w:lastRenderedPageBreak/>
        <w:t>socialización infantil y persiste a lo largo de la vida. Este concepto enfatiza la necesidad de integrar valores democráticos y prácticas inclusivas desde el inicio del desarrollo social, garantizando así el ejercicio continuo de los derechos y responsabilidades ciudadanos a lo largo de la vida.</w:t>
      </w:r>
    </w:p>
    <w:p w14:paraId="282CA8E9" w14:textId="5987CC9D" w:rsidR="008F5DF5" w:rsidRPr="003B2899" w:rsidRDefault="008F5DF5" w:rsidP="00E35C19">
      <w:pPr>
        <w:spacing w:before="0" w:after="0" w:line="360" w:lineRule="auto"/>
        <w:ind w:firstLine="709"/>
        <w:jc w:val="both"/>
        <w:rPr>
          <w:lang w:val="en-US" w:eastAsia="fr-FR"/>
        </w:rPr>
      </w:pPr>
      <w:r w:rsidRPr="003B2899">
        <w:rPr>
          <w:lang w:val="en-US" w:eastAsia="fr-FR"/>
        </w:rPr>
        <w:t>Presentamos el concepto de "ciudadanía sostenible" como un proceso permanente, dinámico y regenerador que abarca la participación democrática y la inclusión social desde la primera infancia hasta la vejez y los últimos momentos de la existencia. Esta perspectiva conceptual se alinea con la iniciativa de la UNESCO "Aprender a ser: El mundo de la educación hoy y mañana" (1972), que postula que la ciudadanía no es un estado estático, sino un compromiso evolutivo moldeado por la educación continua, la participación y la integración social. La ciudadanía sostenible implica la eliminación de las barreras a la participación en la vida cívica, garantizando que las personas mayores sigan siendo agentes activos en el contrato social.</w:t>
      </w:r>
    </w:p>
    <w:p w14:paraId="43ED350F" w14:textId="1DA3900E" w:rsidR="00485A40" w:rsidRPr="003B2899" w:rsidRDefault="008F5DF5" w:rsidP="00E35C19">
      <w:pPr>
        <w:spacing w:before="0" w:after="0" w:line="360" w:lineRule="auto"/>
        <w:ind w:firstLine="709"/>
        <w:jc w:val="both"/>
        <w:rPr>
          <w:lang w:val="en-US" w:eastAsia="fr-FR"/>
        </w:rPr>
      </w:pPr>
      <w:r w:rsidRPr="003B2899">
        <w:rPr>
          <w:lang w:val="en-US" w:eastAsia="fr-FR"/>
        </w:rPr>
        <w:t xml:space="preserve">Esta perspectiva desafía las nociones tradicionales del envejecimiento como un período de desvinculación (Cumming y Henri, 1961) y, en cambio, destaca el continuo de la ciudadanía o las capacidades para desarrollar el compromiso cívico y la ciudadanía activa a lo largo del ciclo de vida, incluso en etapas posteriores de la vida, mediante el cual los individuos acumulan, crean, desarrollan y ejercen competencias cívicas a lo largo de </w:t>
      </w:r>
      <w:proofErr w:type="spellStart"/>
      <w:r w:rsidRPr="003B2899">
        <w:rPr>
          <w:lang w:val="en-US" w:eastAsia="fr-FR"/>
        </w:rPr>
        <w:t>su</w:t>
      </w:r>
      <w:proofErr w:type="spellEnd"/>
      <w:r w:rsidRPr="003B2899">
        <w:rPr>
          <w:lang w:val="en-US" w:eastAsia="fr-FR"/>
        </w:rPr>
        <w:t xml:space="preserve"> </w:t>
      </w:r>
      <w:proofErr w:type="spellStart"/>
      <w:r w:rsidRPr="003B2899">
        <w:rPr>
          <w:lang w:val="en-US" w:eastAsia="fr-FR"/>
        </w:rPr>
        <w:t>vida</w:t>
      </w:r>
      <w:proofErr w:type="spellEnd"/>
      <w:r w:rsidRPr="003B2899">
        <w:rPr>
          <w:lang w:val="en-US" w:eastAsia="fr-FR"/>
        </w:rPr>
        <w:t xml:space="preserve"> ( </w:t>
      </w:r>
      <w:proofErr w:type="spellStart"/>
      <w:r w:rsidR="004068FA" w:rsidRPr="003B2899">
        <w:rPr>
          <w:lang w:val="en-US"/>
        </w:rPr>
        <w:t>Sgier</w:t>
      </w:r>
      <w:proofErr w:type="spellEnd"/>
      <w:r w:rsidR="004068FA" w:rsidRPr="003B2899">
        <w:rPr>
          <w:lang w:val="en-US"/>
        </w:rPr>
        <w:t xml:space="preserve"> , L. y Lucas, </w:t>
      </w:r>
      <w:r w:rsidR="004068FA" w:rsidRPr="003B2899">
        <w:rPr>
          <w:lang w:val="en-US" w:eastAsia="fr-FR"/>
        </w:rPr>
        <w:t>2018; Lucas, B. et alii., 2022).</w:t>
      </w:r>
    </w:p>
    <w:p w14:paraId="2A1DA319" w14:textId="47CA1828" w:rsidR="0013117E" w:rsidRPr="003B2899" w:rsidRDefault="0013117E" w:rsidP="00E35C19">
      <w:pPr>
        <w:spacing w:before="0" w:after="0" w:line="360" w:lineRule="auto"/>
        <w:ind w:firstLine="709"/>
        <w:jc w:val="both"/>
        <w:rPr>
          <w:lang w:val="en-US"/>
        </w:rPr>
      </w:pPr>
      <w:r w:rsidRPr="003B2899">
        <w:rPr>
          <w:lang w:val="en-US" w:eastAsia="fr-FR"/>
        </w:rPr>
        <w:t xml:space="preserve">Implementar una ciudadanía sostenible requiere políticas y prácticas que promuevan el acceso a los derechos y el aprendizaje permanente. Su objetivo es prevenir el desconocimiento de los derechos de las personas mayores, así como las brechas cognitivas en la vida social, así como el aislamiento que a menudo resulta de la exclusión, implícita o explícita, asociada al envejecimiento. Estas políticas e iniciativas buscan eliminar las barreras que dificultan </w:t>
      </w:r>
      <w:r w:rsidR="004068FA" w:rsidRPr="003B2899">
        <w:rPr>
          <w:lang w:val="en-US" w:eastAsia="fr-FR"/>
        </w:rPr>
        <w:t xml:space="preserve">la participación social y cívica de las personas mayores en la ciudad, considerada tanto como territorio de vida como espacio para la </w:t>
      </w:r>
      <w:proofErr w:type="spellStart"/>
      <w:r w:rsidR="004068FA" w:rsidRPr="003B2899">
        <w:rPr>
          <w:lang w:val="en-US" w:eastAsia="fr-FR"/>
        </w:rPr>
        <w:t>toma</w:t>
      </w:r>
      <w:proofErr w:type="spellEnd"/>
      <w:r w:rsidR="004068FA" w:rsidRPr="003B2899">
        <w:rPr>
          <w:lang w:val="en-US" w:eastAsia="fr-FR"/>
        </w:rPr>
        <w:t xml:space="preserve"> de </w:t>
      </w:r>
      <w:proofErr w:type="spellStart"/>
      <w:r w:rsidR="004068FA" w:rsidRPr="003B2899">
        <w:rPr>
          <w:lang w:val="en-US" w:eastAsia="fr-FR"/>
        </w:rPr>
        <w:t>decisiones</w:t>
      </w:r>
      <w:proofErr w:type="spellEnd"/>
      <w:r w:rsidR="004068FA" w:rsidRPr="003B2899">
        <w:rPr>
          <w:lang w:val="en-US" w:eastAsia="fr-FR"/>
        </w:rPr>
        <w:t xml:space="preserve"> </w:t>
      </w:r>
      <w:proofErr w:type="spellStart"/>
      <w:r w:rsidR="004068FA" w:rsidRPr="003B2899">
        <w:rPr>
          <w:lang w:val="en-US" w:eastAsia="fr-FR"/>
        </w:rPr>
        <w:t>públicas</w:t>
      </w:r>
      <w:proofErr w:type="spellEnd"/>
      <w:r w:rsidR="004068FA" w:rsidRPr="003B2899">
        <w:rPr>
          <w:lang w:val="en-US" w:eastAsia="fr-FR"/>
        </w:rPr>
        <w:t xml:space="preserve"> ( </w:t>
      </w:r>
      <w:proofErr w:type="spellStart"/>
      <w:r w:rsidR="00AD293E" w:rsidRPr="003B2899">
        <w:rPr>
          <w:lang w:val="en-US" w:eastAsia="fr-FR"/>
        </w:rPr>
        <w:t>Harbermas</w:t>
      </w:r>
      <w:proofErr w:type="spellEnd"/>
      <w:r w:rsidR="00AD293E" w:rsidRPr="003B2899">
        <w:rPr>
          <w:lang w:val="en-US" w:eastAsia="fr-FR"/>
        </w:rPr>
        <w:t xml:space="preserve"> J., 1989; Buffel T., Philipson C., 2019).</w:t>
      </w:r>
    </w:p>
    <w:p w14:paraId="00AD4A24" w14:textId="40AEDDBC" w:rsidR="00485A40" w:rsidRPr="003B2899" w:rsidRDefault="008F5DF5" w:rsidP="00E35C19">
      <w:pPr>
        <w:spacing w:before="0" w:after="0" w:line="360" w:lineRule="auto"/>
        <w:ind w:firstLine="709"/>
        <w:jc w:val="both"/>
        <w:rPr>
          <w:lang w:val="en-US" w:eastAsia="fr-FR"/>
        </w:rPr>
      </w:pPr>
      <w:r w:rsidRPr="003B2899">
        <w:rPr>
          <w:lang w:val="en-US" w:eastAsia="fr-FR"/>
        </w:rPr>
        <w:t xml:space="preserve">Como se argumenta en la “Recomendación sobre el Aprendizaje y la Educación de Adultos” de la UNESCO (2015), el aprendizaje a lo largo de la vida es esencial para mantener la cohesión social y empoderar a las personas mayores para que participen plenamente en los procesos de toma de decisiones. </w:t>
      </w:r>
      <w:r w:rsidR="00485A40" w:rsidRPr="003B2899">
        <w:rPr>
          <w:lang w:val="en-US"/>
        </w:rPr>
        <w:t xml:space="preserve">Es un derecho fundamental y un factor clave para la ciudadanía activa. En su informe “Marco de Acción Educación 2030”, la UNESCO insta a garantizar la </w:t>
      </w:r>
      <w:r w:rsidR="00485A40" w:rsidRPr="003B2899">
        <w:rPr>
          <w:lang w:val="en-US"/>
        </w:rPr>
        <w:lastRenderedPageBreak/>
        <w:t>igualdad de oportunidades de aprendizaje para todos, incluidas las personas mayores, para adaptarse a las transformaciones sociales. Sin embargo, como se destaca en este informe, existe una brecha persistente en la educación y el desarrollo de habilidades para las poblaciones en proceso de envejecimiento.</w:t>
      </w:r>
    </w:p>
    <w:p w14:paraId="0607F441" w14:textId="672C22BD" w:rsidR="00485A40" w:rsidRPr="003B2899" w:rsidRDefault="00485A40" w:rsidP="00E35C19">
      <w:pPr>
        <w:spacing w:before="0" w:after="0" w:line="360" w:lineRule="auto"/>
        <w:ind w:firstLine="709"/>
        <w:jc w:val="both"/>
        <w:rPr>
          <w:lang w:val="en-US" w:eastAsia="fr-FR"/>
        </w:rPr>
      </w:pPr>
      <w:r w:rsidRPr="003B2899">
        <w:rPr>
          <w:lang w:val="en-US" w:eastAsia="fr-FR"/>
        </w:rPr>
        <w:t xml:space="preserve">Existen numerosos factores que explican esta brecha. Si bien sus combinaciones pueden variar entre sociedades, el </w:t>
      </w:r>
      <w:r w:rsidRPr="003B2899">
        <w:rPr>
          <w:lang w:val="en-US"/>
        </w:rPr>
        <w:t xml:space="preserve">Cuarto Informe Mundial sobre el Aprendizaje y la Educación de Adultos de la UNESCO (GRALE 4, 2019) menciona los tres siguientes: el acceso deficiente a programas de alfabetización digital para adultos mayores, lo que limita su participación en las economías modernas y su compromiso cívico. A pesar de su potencial para fomentar la cohesión social y la resiliencia, la transferencia intergeneracional de conocimientos a menudo se pasa por alto. </w:t>
      </w:r>
      <w:r w:rsidR="00E354A5" w:rsidRPr="003B2899">
        <w:rPr>
          <w:lang w:val="en-US" w:eastAsia="fr-FR"/>
        </w:rPr>
        <w:t xml:space="preserve">Finalmente, </w:t>
      </w:r>
      <w:r w:rsidR="00E354A5" w:rsidRPr="003B2899">
        <w:rPr>
          <w:lang w:val="en-US"/>
        </w:rPr>
        <w:t>muchos programas de aprendizaje permanente no integran a las poblaciones de mayor edad, lo que refuerza la idea errónea de que la educación es solo para las generaciones más jóvenes.</w:t>
      </w:r>
    </w:p>
    <w:p w14:paraId="22DA0145" w14:textId="52A8F774" w:rsidR="00485A40" w:rsidRPr="003B2899" w:rsidRDefault="00485A40" w:rsidP="00E35C19">
      <w:pPr>
        <w:spacing w:before="0" w:after="100" w:afterAutospacing="1" w:line="360" w:lineRule="auto"/>
        <w:ind w:firstLine="709"/>
        <w:jc w:val="both"/>
        <w:rPr>
          <w:lang w:val="en-US"/>
        </w:rPr>
      </w:pPr>
      <w:r w:rsidRPr="003B2899">
        <w:rPr>
          <w:lang w:val="en-US"/>
        </w:rPr>
        <w:t>Para superar estos desafíos, la iniciativa Ciudades del Aprendizaje de la UNESCO (2015) promueve políticas que integran la educación en todas las etapas de la vida, garantizando así que las personas mayores se mantengan comprometidas y empoderadas. La ciudadanía activa debe apoyarse en el aprendizaje continuo y la inclusión digital, permitiendo a las personas mayores participar plenamente en el tejido social y político de sus sociedades.</w:t>
      </w:r>
    </w:p>
    <w:p w14:paraId="2E1865FC" w14:textId="25E847A2" w:rsidR="00485A40" w:rsidRDefault="00123556" w:rsidP="00E35C19">
      <w:pPr>
        <w:pStyle w:val="NormalWeb"/>
        <w:spacing w:before="0" w:beforeAutospacing="0" w:line="360" w:lineRule="auto"/>
        <w:ind w:firstLine="709"/>
        <w:jc w:val="both"/>
        <w:rPr>
          <w:lang w:val="en-US"/>
        </w:rPr>
      </w:pPr>
      <w:r w:rsidRPr="003B2899">
        <w:rPr>
          <w:lang w:val="en-US"/>
        </w:rPr>
        <w:t xml:space="preserve">Por lo tanto, </w:t>
      </w:r>
      <w:proofErr w:type="spellStart"/>
      <w:r w:rsidRPr="003B2899">
        <w:rPr>
          <w:lang w:val="en-US"/>
        </w:rPr>
        <w:t>el</w:t>
      </w:r>
      <w:proofErr w:type="spellEnd"/>
      <w:r w:rsidRPr="003B2899">
        <w:rPr>
          <w:b/>
          <w:bCs/>
          <w:lang w:val="en-US"/>
        </w:rPr>
        <w:t xml:space="preserve"> </w:t>
      </w:r>
      <w:proofErr w:type="spellStart"/>
      <w:r w:rsidRPr="003B2899">
        <w:rPr>
          <w:rStyle w:val="Textoennegrita"/>
          <w:b w:val="0"/>
          <w:bCs w:val="0"/>
          <w:lang w:val="en-US"/>
        </w:rPr>
        <w:t>perspectiva</w:t>
      </w:r>
      <w:proofErr w:type="spellEnd"/>
      <w:r w:rsidRPr="003B2899">
        <w:rPr>
          <w:rStyle w:val="Textoennegrita"/>
          <w:b w:val="0"/>
          <w:bCs w:val="0"/>
          <w:lang w:val="en-US"/>
        </w:rPr>
        <w:t xml:space="preserve"> del </w:t>
      </w:r>
      <w:proofErr w:type="spellStart"/>
      <w:r w:rsidRPr="003B2899">
        <w:rPr>
          <w:rStyle w:val="Textoennegrita"/>
          <w:b w:val="0"/>
          <w:bCs w:val="0"/>
          <w:lang w:val="en-US"/>
        </w:rPr>
        <w:t>curso</w:t>
      </w:r>
      <w:proofErr w:type="spellEnd"/>
      <w:r w:rsidRPr="003B2899">
        <w:rPr>
          <w:rStyle w:val="Textoennegrita"/>
          <w:b w:val="0"/>
          <w:bCs w:val="0"/>
          <w:lang w:val="en-US"/>
        </w:rPr>
        <w:t xml:space="preserve"> de </w:t>
      </w:r>
      <w:proofErr w:type="spellStart"/>
      <w:r w:rsidRPr="003B2899">
        <w:rPr>
          <w:rStyle w:val="Textoennegrita"/>
          <w:b w:val="0"/>
          <w:bCs w:val="0"/>
          <w:lang w:val="en-US"/>
        </w:rPr>
        <w:t>vida</w:t>
      </w:r>
      <w:proofErr w:type="spellEnd"/>
      <w:r w:rsidRPr="003B2899">
        <w:rPr>
          <w:b/>
          <w:bCs/>
          <w:lang w:val="en-US"/>
        </w:rPr>
        <w:t xml:space="preserve"> </w:t>
      </w:r>
      <w:proofErr w:type="spellStart"/>
      <w:r w:rsidRPr="003B2899">
        <w:rPr>
          <w:lang w:val="en-US"/>
        </w:rPr>
        <w:t>destaca</w:t>
      </w:r>
      <w:proofErr w:type="spellEnd"/>
      <w:r w:rsidRPr="003B2899">
        <w:rPr>
          <w:lang w:val="en-US"/>
        </w:rPr>
        <w:t xml:space="preserve"> la </w:t>
      </w:r>
      <w:proofErr w:type="spellStart"/>
      <w:r w:rsidRPr="003B2899">
        <w:rPr>
          <w:lang w:val="en-US"/>
        </w:rPr>
        <w:t>importancia</w:t>
      </w:r>
      <w:proofErr w:type="spellEnd"/>
      <w:r w:rsidRPr="003B2899">
        <w:rPr>
          <w:lang w:val="en-US"/>
        </w:rPr>
        <w:t xml:space="preserve"> de</w:t>
      </w:r>
      <w:r w:rsidRPr="003B2899">
        <w:rPr>
          <w:b/>
          <w:bCs/>
          <w:lang w:val="en-US"/>
        </w:rPr>
        <w:t xml:space="preserve"> </w:t>
      </w:r>
      <w:r w:rsidRPr="003B2899">
        <w:rPr>
          <w:rStyle w:val="Textoennegrita"/>
          <w:b w:val="0"/>
          <w:bCs w:val="0"/>
          <w:lang w:val="en-US"/>
        </w:rPr>
        <w:t>políticas adaptativas, participación permanente y oportunidades equitativas</w:t>
      </w:r>
      <w:r w:rsidRPr="003B2899">
        <w:rPr>
          <w:b/>
          <w:bCs/>
          <w:lang w:val="en-US"/>
        </w:rPr>
        <w:t xml:space="preserve"> </w:t>
      </w:r>
      <w:r w:rsidRPr="003B2899">
        <w:rPr>
          <w:lang w:val="en-US"/>
        </w:rPr>
        <w:t>para que los ciudadanos de mayor edad permanezcan plenamente integrados en la vida democrática.</w:t>
      </w:r>
    </w:p>
    <w:p w14:paraId="614D4618" w14:textId="77777777" w:rsidR="00E35C19" w:rsidRDefault="00E35C19" w:rsidP="00E35C19">
      <w:pPr>
        <w:pStyle w:val="NormalWeb"/>
        <w:spacing w:line="276" w:lineRule="auto"/>
        <w:ind w:firstLine="709"/>
        <w:jc w:val="both"/>
        <w:rPr>
          <w:lang w:val="en-US"/>
        </w:rPr>
      </w:pPr>
    </w:p>
    <w:p w14:paraId="30DC5EAF" w14:textId="77777777" w:rsidR="005152FD" w:rsidRDefault="005152FD" w:rsidP="00E35C19">
      <w:pPr>
        <w:pStyle w:val="NormalWeb"/>
        <w:spacing w:line="276" w:lineRule="auto"/>
        <w:ind w:firstLine="709"/>
        <w:jc w:val="both"/>
        <w:rPr>
          <w:lang w:val="en-US"/>
        </w:rPr>
      </w:pPr>
    </w:p>
    <w:p w14:paraId="74B7B2BF" w14:textId="77777777" w:rsidR="005152FD" w:rsidRPr="003B2899" w:rsidRDefault="005152FD" w:rsidP="00E35C19">
      <w:pPr>
        <w:pStyle w:val="NormalWeb"/>
        <w:spacing w:line="276" w:lineRule="auto"/>
        <w:ind w:firstLine="709"/>
        <w:jc w:val="both"/>
        <w:rPr>
          <w:lang w:val="en-US"/>
        </w:rPr>
      </w:pPr>
    </w:p>
    <w:p w14:paraId="6848A0AA" w14:textId="35B987FF" w:rsidR="008F5DF5" w:rsidRPr="00E35C19" w:rsidRDefault="008F5DF5" w:rsidP="00E35C19">
      <w:pPr>
        <w:pStyle w:val="Ttulo2"/>
        <w:numPr>
          <w:ilvl w:val="1"/>
          <w:numId w:val="15"/>
        </w:numPr>
        <w:spacing w:line="276" w:lineRule="auto"/>
        <w:jc w:val="center"/>
        <w:rPr>
          <w:sz w:val="28"/>
          <w:szCs w:val="28"/>
          <w:lang w:val="en-US"/>
        </w:rPr>
      </w:pPr>
      <w:bookmarkStart w:id="5" w:name="_Toc193356878"/>
      <w:r w:rsidRPr="00E35C19">
        <w:rPr>
          <w:sz w:val="28"/>
          <w:szCs w:val="28"/>
          <w:lang w:val="en-US"/>
        </w:rPr>
        <w:t xml:space="preserve">Implementar </w:t>
      </w:r>
      <w:r w:rsidR="00153B78" w:rsidRPr="00E35C19">
        <w:rPr>
          <w:sz w:val="28"/>
          <w:szCs w:val="28"/>
          <w:lang w:val="en-US"/>
        </w:rPr>
        <w:t>políticas inclusivas para el compromiso cívico a lo largo de la vida</w:t>
      </w:r>
      <w:bookmarkEnd w:id="5"/>
    </w:p>
    <w:p w14:paraId="1D946529" w14:textId="7BD94F88" w:rsidR="00453B80" w:rsidRPr="003B2899" w:rsidRDefault="00453B80" w:rsidP="00E35C19">
      <w:pPr>
        <w:spacing w:before="0" w:after="0" w:line="360" w:lineRule="auto"/>
        <w:ind w:firstLine="709"/>
        <w:jc w:val="both"/>
        <w:rPr>
          <w:lang w:val="en-US"/>
        </w:rPr>
      </w:pPr>
      <w:r w:rsidRPr="003B2899">
        <w:rPr>
          <w:lang w:val="en-US"/>
        </w:rPr>
        <w:t xml:space="preserve">A medida que las poblaciones envejecen, garantizar la plena participación de los ciudadanos mayores se convierte en un desafío fundamental. La forma en que los individuos progresan a través del envejecimiento depende en gran medida de la </w:t>
      </w:r>
      <w:r w:rsidRPr="003B2899">
        <w:rPr>
          <w:rStyle w:val="Textoennegrita"/>
          <w:rFonts w:eastAsiaTheme="majorEastAsia"/>
          <w:b w:val="0"/>
          <w:bCs w:val="0"/>
          <w:lang w:val="en-US"/>
        </w:rPr>
        <w:t xml:space="preserve">estructura de </w:t>
      </w:r>
      <w:r w:rsidRPr="003B2899">
        <w:rPr>
          <w:rStyle w:val="Textoennegrita"/>
          <w:rFonts w:eastAsiaTheme="majorEastAsia"/>
          <w:b w:val="0"/>
          <w:bCs w:val="0"/>
          <w:lang w:val="en-US"/>
        </w:rPr>
        <w:lastRenderedPageBreak/>
        <w:t xml:space="preserve">oportunidades, los recursos disponibles y los incentivos </w:t>
      </w:r>
      <w:r w:rsidRPr="003B2899">
        <w:rPr>
          <w:lang w:val="en-US"/>
        </w:rPr>
        <w:t xml:space="preserve">para desarrollar y mantener sus capacidades a todas las edades. Abordar el tema de las estructuras de oportunidades nos lleva a una evaluación clara del </w:t>
      </w:r>
      <w:r w:rsidRPr="003B2899">
        <w:rPr>
          <w:rStyle w:val="Textoennegrita"/>
          <w:rFonts w:eastAsiaTheme="majorEastAsia"/>
          <w:b w:val="0"/>
          <w:bCs w:val="0"/>
          <w:lang w:val="en-US"/>
        </w:rPr>
        <w:t xml:space="preserve">lugar de los individuos que envejecen en la vida cívica </w:t>
      </w:r>
      <w:r w:rsidRPr="003B2899">
        <w:rPr>
          <w:b/>
          <w:bCs/>
          <w:lang w:val="en-US"/>
        </w:rPr>
        <w:t xml:space="preserve">. </w:t>
      </w:r>
      <w:r w:rsidRPr="003B2899">
        <w:rPr>
          <w:lang w:val="en-US"/>
        </w:rPr>
        <w:t xml:space="preserve">Este enfoque de la dinámica de la participación en la vejez subraya la importancia de un compromiso cívico de por vida. Para alentar el compromiso cívico en todos los grupos de edad, existe un requisito específico de </w:t>
      </w:r>
      <w:r w:rsidRPr="003B2899">
        <w:rPr>
          <w:rStyle w:val="Textoennegrita"/>
          <w:rFonts w:eastAsiaTheme="majorEastAsia"/>
          <w:b w:val="0"/>
          <w:bCs w:val="0"/>
          <w:lang w:val="en-US"/>
        </w:rPr>
        <w:t xml:space="preserve">estrategias globales de inversión social </w:t>
      </w:r>
      <w:r w:rsidRPr="003B2899">
        <w:rPr>
          <w:lang w:val="en-US"/>
        </w:rPr>
        <w:t>basadas en intervenciones preventivas a lo largo de la vida, en lugar de limitarse a edades específicas. Esta es la única manera de equipar a los individuos para enfrentar nuevos riesgos en sus trayectorias de vida cada vez más flexibles e inciertas.</w:t>
      </w:r>
    </w:p>
    <w:p w14:paraId="53BE2BCF" w14:textId="601C1A41" w:rsidR="00B54FC1" w:rsidRPr="003B2899" w:rsidRDefault="00B54FC1" w:rsidP="00E35C19">
      <w:pPr>
        <w:spacing w:before="0" w:after="0" w:line="360" w:lineRule="auto"/>
        <w:ind w:firstLine="709"/>
        <w:jc w:val="both"/>
        <w:rPr>
          <w:lang w:val="en-US"/>
        </w:rPr>
      </w:pPr>
      <w:r w:rsidRPr="003B2899">
        <w:rPr>
          <w:lang w:val="en-US"/>
        </w:rPr>
        <w:t xml:space="preserve">Como resultado, surgen nuevos imperativos para </w:t>
      </w:r>
      <w:r w:rsidRPr="003B2899">
        <w:rPr>
          <w:rStyle w:val="Textoennegrita"/>
          <w:rFonts w:eastAsiaTheme="majorEastAsia"/>
          <w:b w:val="0"/>
          <w:bCs w:val="0"/>
          <w:lang w:val="en-US"/>
        </w:rPr>
        <w:t xml:space="preserve">modernizar las políticas públicas sobre envejecimiento </w:t>
      </w:r>
      <w:r w:rsidRPr="003B2899">
        <w:rPr>
          <w:b/>
          <w:bCs/>
          <w:lang w:val="en-US"/>
        </w:rPr>
        <w:t xml:space="preserve">. </w:t>
      </w:r>
      <w:r w:rsidRPr="003B2899">
        <w:rPr>
          <w:lang w:val="en-US"/>
        </w:rPr>
        <w:t xml:space="preserve">El objetivo principal ahora es ayudar a las personas a desarrollar </w:t>
      </w:r>
      <w:r w:rsidRPr="003B2899">
        <w:rPr>
          <w:rStyle w:val="Textoennegrita"/>
          <w:rFonts w:eastAsiaTheme="majorEastAsia"/>
          <w:b w:val="0"/>
          <w:bCs w:val="0"/>
          <w:lang w:val="en-US"/>
        </w:rPr>
        <w:t xml:space="preserve">su autonomía y capacidades a lo largo de la vida </w:t>
      </w:r>
      <w:r w:rsidRPr="003B2899">
        <w:rPr>
          <w:b/>
          <w:bCs/>
          <w:lang w:val="en-US"/>
        </w:rPr>
        <w:t xml:space="preserve">, </w:t>
      </w:r>
      <w:r w:rsidRPr="003B2899">
        <w:rPr>
          <w:lang w:val="en-US"/>
        </w:rPr>
        <w:t xml:space="preserve">así como promover sus </w:t>
      </w:r>
      <w:r w:rsidRPr="003B2899">
        <w:rPr>
          <w:rStyle w:val="Textoennegrita"/>
          <w:rFonts w:eastAsiaTheme="majorEastAsia"/>
          <w:b w:val="0"/>
          <w:bCs w:val="0"/>
          <w:lang w:val="en-US"/>
        </w:rPr>
        <w:t xml:space="preserve">habilidades multifacéticas </w:t>
      </w:r>
      <w:r w:rsidRPr="003B2899">
        <w:rPr>
          <w:b/>
          <w:bCs/>
          <w:lang w:val="en-US"/>
        </w:rPr>
        <w:t xml:space="preserve">, </w:t>
      </w:r>
      <w:r w:rsidRPr="003B2899">
        <w:rPr>
          <w:lang w:val="en-US"/>
        </w:rPr>
        <w:t>permitiéndoles asumir responsabilidades a pesar de la creciente alternancia entre períodos de actividad e inactividad a lo largo de su vida.</w:t>
      </w:r>
    </w:p>
    <w:p w14:paraId="1DD79099" w14:textId="20CAC2E5" w:rsidR="0081413E" w:rsidRPr="003B2899" w:rsidRDefault="00F52B9D" w:rsidP="00E35C19">
      <w:pPr>
        <w:spacing w:before="0" w:after="0" w:line="360" w:lineRule="auto"/>
        <w:ind w:firstLine="709"/>
        <w:jc w:val="both"/>
        <w:rPr>
          <w:lang w:val="en-US" w:eastAsia="fr-FR"/>
        </w:rPr>
      </w:pPr>
      <w:r w:rsidRPr="003B2899">
        <w:rPr>
          <w:lang w:val="en-US" w:eastAsia="fr-FR"/>
        </w:rPr>
        <w:t xml:space="preserve">Al mismo tiempo, uno de los desafíos en las políticas públicas sobre envejecimiento es desmantelar las barreras sistémicas que dificultan la participación de las personas mayores en la vida cívica y económica. El edadismo explícito o implícito representa un desafío clave para la integración de las personas mayores en las sociedades modernas (Butler R., 1979; </w:t>
      </w:r>
      <w:proofErr w:type="spellStart"/>
      <w:r w:rsidR="00714D5A" w:rsidRPr="003B2899">
        <w:rPr>
          <w:lang w:val="en-US" w:eastAsia="fr-FR"/>
        </w:rPr>
        <w:t>Achenbaum</w:t>
      </w:r>
      <w:proofErr w:type="spellEnd"/>
      <w:r w:rsidR="00714D5A" w:rsidRPr="003B2899">
        <w:rPr>
          <w:lang w:val="en-US" w:eastAsia="fr-FR"/>
        </w:rPr>
        <w:t xml:space="preserve"> A., 2015; </w:t>
      </w:r>
      <w:proofErr w:type="spellStart"/>
      <w:r w:rsidR="003F65F4" w:rsidRPr="003B2899">
        <w:rPr>
          <w:lang w:val="en-US" w:eastAsia="fr-FR"/>
        </w:rPr>
        <w:t>Lagacé</w:t>
      </w:r>
      <w:proofErr w:type="spellEnd"/>
      <w:r w:rsidR="003F65F4" w:rsidRPr="003B2899">
        <w:rPr>
          <w:lang w:val="en-US" w:eastAsia="fr-FR"/>
        </w:rPr>
        <w:t xml:space="preserve"> M., 2010). Las poblaciones mayores, incluidos los segmentos más vulnerables y frágiles de esta población, pueden ser víctimas de procesos conscientes e inconscientes de exclusión. Como se planteó en el Plan de Acción Internacional de Madrid sobre el Envejecimiento (2002) y otros informes como la </w:t>
      </w:r>
      <w:r w:rsidRPr="003B2899">
        <w:rPr>
          <w:lang w:val="en-US"/>
        </w:rPr>
        <w:t xml:space="preserve">«Guía para Ciudades Inclusivas con las Personas Mayores» de la UNESCO de 2017, </w:t>
      </w:r>
      <w:r w:rsidRPr="003B2899">
        <w:rPr>
          <w:lang w:val="en-US" w:eastAsia="fr-FR"/>
        </w:rPr>
        <w:t xml:space="preserve">el problema de las barreras específicas </w:t>
      </w:r>
      <w:r w:rsidRPr="003B2899">
        <w:rPr>
          <w:lang w:val="en-US"/>
        </w:rPr>
        <w:t>a la participación económica, política y social debido al edadismo sistémico que muchas personas mayores aún enfrentan en sus últimos años debe ser abordado por las políticas públicas. El informe también destaca las prácticas discriminatorias en los mercados laborales y las políticas públicas, que limitan las oportunidades de participación activa en la vida cívica.</w:t>
      </w:r>
    </w:p>
    <w:p w14:paraId="13D8DDFE" w14:textId="5BA2A593" w:rsidR="00B54FC1" w:rsidRPr="003B2899" w:rsidRDefault="00F52B9D" w:rsidP="00E35C19">
      <w:pPr>
        <w:spacing w:before="0" w:after="0" w:line="360" w:lineRule="auto"/>
        <w:ind w:firstLine="709"/>
        <w:jc w:val="both"/>
        <w:rPr>
          <w:lang w:val="en-US"/>
        </w:rPr>
      </w:pPr>
      <w:r w:rsidRPr="003B2899">
        <w:rPr>
          <w:lang w:val="en-US" w:eastAsia="fr-FR"/>
        </w:rPr>
        <w:t xml:space="preserve">Recientemente, el </w:t>
      </w:r>
      <w:r w:rsidR="00B54FC1" w:rsidRPr="003B2899">
        <w:rPr>
          <w:lang w:val="en-US"/>
        </w:rPr>
        <w:t xml:space="preserve">Informe Mundial sobre la Edad (2021) </w:t>
      </w:r>
      <w:r w:rsidRPr="003B2899">
        <w:rPr>
          <w:color w:val="333333"/>
          <w:shd w:val="clear" w:color="auto" w:fill="FFFFFF"/>
          <w:lang w:val="en-US"/>
        </w:rPr>
        <w:t>elaborado para la campaña por la OMS, la Oficina del Alto Comisionado para los Derechos Humanos, el Departamento de Asuntos Económicos y Sociales de las Naciones Unidas (ONU) y el Fondo de Población de las Naciones Unidas,</w:t>
      </w:r>
      <w:r w:rsidRPr="003B2899">
        <w:rPr>
          <w:lang w:val="en-US" w:eastAsia="fr-FR"/>
        </w:rPr>
        <w:t xml:space="preserve"> </w:t>
      </w:r>
      <w:r w:rsidRPr="003B2899">
        <w:rPr>
          <w:lang w:val="en-US"/>
        </w:rPr>
        <w:t xml:space="preserve">Señala la discriminación por edad como un obstáculo significativo para una ciudadanía sostenible, ya que disminuye el papel de las personas mayores en la formulación de </w:t>
      </w:r>
      <w:r w:rsidRPr="003B2899">
        <w:rPr>
          <w:lang w:val="en-US"/>
        </w:rPr>
        <w:lastRenderedPageBreak/>
        <w:t xml:space="preserve">políticas, el empleo y la vida comunitaria. A pesar de los esfuerzos e iniciativas internacionales para promover políticas inclusivas, muchas sociedades, incluida Francia, aún </w:t>
      </w:r>
      <w:r w:rsidR="00B54FC1" w:rsidRPr="003B2899">
        <w:rPr>
          <w:lang w:val="en-US"/>
        </w:rPr>
        <w:t xml:space="preserve">enfrentan la discriminación por edad en el empleo, lo que conduce a la exclusión económica </w:t>
      </w:r>
      <w:r w:rsidRPr="003B2899">
        <w:rPr>
          <w:lang w:val="en-US"/>
        </w:rPr>
        <w:t xml:space="preserve">(Mercat-Bruns, 2020). Además, la participación cívica de las personas mayores, como la menor participación electoral y la exclusión de la formulación de políticas, sigue siendo una práctica común, impulsada por la existencia de estereotipos negativos que marginan a las personas mayores en las esferas social y </w:t>
      </w:r>
      <w:r w:rsidR="00B54FC1" w:rsidRPr="003B2899">
        <w:rPr>
          <w:b/>
          <w:bCs/>
          <w:lang w:val="en-US"/>
        </w:rPr>
        <w:t xml:space="preserve">cultural </w:t>
      </w:r>
      <w:r w:rsidR="00B54FC1" w:rsidRPr="003B2899">
        <w:rPr>
          <w:lang w:val="en-US"/>
        </w:rPr>
        <w:t>.</w:t>
      </w:r>
    </w:p>
    <w:p w14:paraId="0A81F79E" w14:textId="001E15E6" w:rsidR="00B54FC1" w:rsidRPr="003B2899" w:rsidRDefault="0081413E" w:rsidP="00E35C19">
      <w:pPr>
        <w:spacing w:before="0" w:after="0" w:line="360" w:lineRule="auto"/>
        <w:ind w:firstLine="709"/>
        <w:jc w:val="both"/>
        <w:rPr>
          <w:lang w:val="en-US"/>
        </w:rPr>
      </w:pPr>
      <w:r w:rsidRPr="003B2899">
        <w:rPr>
          <w:lang w:val="en-US"/>
        </w:rPr>
        <w:t>Las organizaciones internacionales promueven una ciudadanía sostenible y activa y proporcionan marcos, como el “Marco para el diseño de políticas inclusivas” de la UNESCO de 2015, que enfatiza los derechos humanos, la igualdad de acceso y la cooperación intergeneracional como elementos críticos de la sostenibilidad a largo plazo.</w:t>
      </w:r>
    </w:p>
    <w:p w14:paraId="19DB7F75" w14:textId="428C19BC" w:rsidR="0021059A" w:rsidRDefault="00B54FC1" w:rsidP="00E35C19">
      <w:pPr>
        <w:spacing w:before="0" w:after="0" w:line="360" w:lineRule="auto"/>
        <w:ind w:firstLine="709"/>
        <w:jc w:val="both"/>
        <w:rPr>
          <w:lang w:val="en-US" w:eastAsia="fr-FR"/>
        </w:rPr>
      </w:pPr>
      <w:r w:rsidRPr="003B2899">
        <w:rPr>
          <w:lang w:val="en-US" w:eastAsia="fr-FR"/>
        </w:rPr>
        <w:t xml:space="preserve">Lograr una ciudadanía sostenible para todas las edades requiere, por lo tanto, legislaciones y marcos institucionales adaptados, desde el nivel más universal hasta el más local. Una de las estrategias clave sería el enfoque territorial del envejecimiento. Este enfoque reconoce la </w:t>
      </w:r>
      <w:r w:rsidR="00800DF0" w:rsidRPr="003B2899">
        <w:rPr>
          <w:lang w:val="en-US" w:eastAsia="fr-FR"/>
        </w:rPr>
        <w:t xml:space="preserve">ciudad </w:t>
      </w:r>
      <w:r w:rsidR="008F5DF5" w:rsidRPr="003B2899">
        <w:rPr>
          <w:lang w:val="en-US" w:eastAsia="fr-FR"/>
        </w:rPr>
        <w:t>como un entorno vital y un espacio político. Esto se alinea con las iniciativas de la Organización Mundial de la Salud, que promueven el desarrollo de la Red Mundial de Ciudades y Comunidades Amigables con las Personas Mayores. Este programa alienta a los gobiernos locales y a los responsables de la toma de decisiones a implementar procesos de planificación participativa que involucren activamente a las personas mayores en la formulación de políticas urbanas. Al promover una gobernanza urbana inclusiva, estas iniciativas buscan replantear la narrativa del envejecimiento en términos de vulnerabilidad y fragilidad, para contribuir activamente a las sociedades locales.</w:t>
      </w:r>
    </w:p>
    <w:p w14:paraId="5350075F" w14:textId="77777777" w:rsidR="00E35C19" w:rsidRPr="003B2899" w:rsidRDefault="00E35C19" w:rsidP="00E35C19">
      <w:pPr>
        <w:spacing w:before="0" w:after="0" w:line="360" w:lineRule="auto"/>
        <w:ind w:firstLine="709"/>
        <w:jc w:val="both"/>
        <w:rPr>
          <w:lang w:val="en-US" w:eastAsia="fr-FR"/>
        </w:rPr>
      </w:pPr>
    </w:p>
    <w:p w14:paraId="1D96CE76" w14:textId="02F80779" w:rsidR="006B21B1" w:rsidRPr="00E35C19" w:rsidRDefault="00EF72CC" w:rsidP="004404A8">
      <w:pPr>
        <w:pStyle w:val="Ttulo1"/>
        <w:numPr>
          <w:ilvl w:val="0"/>
          <w:numId w:val="38"/>
        </w:numPr>
        <w:spacing w:line="276" w:lineRule="auto"/>
        <w:jc w:val="both"/>
        <w:rPr>
          <w:szCs w:val="32"/>
          <w:lang w:val="en-US"/>
        </w:rPr>
      </w:pPr>
      <w:bookmarkStart w:id="6" w:name="_Toc193356879"/>
      <w:r w:rsidRPr="00E35C19">
        <w:rPr>
          <w:szCs w:val="32"/>
          <w:lang w:val="en-US"/>
        </w:rPr>
        <w:t>Una perspectiva global sobre los derechos humanos: la cuestión de una convención sobre los derechos de las personas mayores</w:t>
      </w:r>
      <w:bookmarkEnd w:id="6"/>
    </w:p>
    <w:p w14:paraId="2EB5E3CA" w14:textId="1D6CAB1B" w:rsidR="00800DF0" w:rsidRPr="003B2899" w:rsidRDefault="00800DF0" w:rsidP="00755EC4">
      <w:pPr>
        <w:pStyle w:val="Ttulo2"/>
        <w:spacing w:line="360" w:lineRule="auto"/>
        <w:ind w:firstLine="284"/>
        <w:jc w:val="both"/>
        <w:rPr>
          <w:b w:val="0"/>
          <w:bCs w:val="0"/>
          <w:sz w:val="24"/>
          <w:szCs w:val="24"/>
          <w:lang w:val="en-US"/>
        </w:rPr>
      </w:pPr>
      <w:bookmarkStart w:id="7" w:name="_Toc193356880"/>
      <w:r w:rsidRPr="003B2899">
        <w:rPr>
          <w:b w:val="0"/>
          <w:bCs w:val="0"/>
          <w:sz w:val="24"/>
          <w:szCs w:val="24"/>
          <w:lang w:val="en-US"/>
        </w:rPr>
        <w:t>Después de haber contextualizado nuestra cuestión y de haber analizado los principios clave, queda por ver cómo se pueden incorporar en un marco jurídico que sea al mismo tiempo amplio y universal, pero también local y especializado.</w:t>
      </w:r>
      <w:bookmarkEnd w:id="7"/>
    </w:p>
    <w:p w14:paraId="1B0B34B8" w14:textId="15868323" w:rsidR="00F64DA4" w:rsidRPr="003C3753" w:rsidRDefault="00F64DA4" w:rsidP="003C3753">
      <w:pPr>
        <w:pStyle w:val="Ttulo2"/>
        <w:numPr>
          <w:ilvl w:val="1"/>
          <w:numId w:val="38"/>
        </w:numPr>
        <w:spacing w:line="276" w:lineRule="auto"/>
        <w:jc w:val="center"/>
        <w:rPr>
          <w:sz w:val="28"/>
          <w:szCs w:val="28"/>
          <w:lang w:val="en-US"/>
        </w:rPr>
      </w:pPr>
      <w:bookmarkStart w:id="8" w:name="_Toc193356881"/>
      <w:r w:rsidRPr="003C3753">
        <w:rPr>
          <w:sz w:val="28"/>
          <w:szCs w:val="28"/>
          <w:lang w:val="en-US"/>
        </w:rPr>
        <w:t>Génesis, desarrollo y desafíos</w:t>
      </w:r>
      <w:bookmarkEnd w:id="8"/>
    </w:p>
    <w:p w14:paraId="1A195438" w14:textId="65B99161" w:rsidR="006B21B1" w:rsidRPr="003B2899" w:rsidRDefault="006B21B1" w:rsidP="007B71C0">
      <w:pPr>
        <w:pStyle w:val="NormalWeb"/>
        <w:spacing w:before="0" w:beforeAutospacing="0" w:after="0" w:afterAutospacing="0" w:line="360" w:lineRule="auto"/>
        <w:ind w:firstLine="709"/>
        <w:jc w:val="both"/>
        <w:rPr>
          <w:lang w:val="en-US"/>
        </w:rPr>
      </w:pPr>
      <w:r w:rsidRPr="003B2899">
        <w:rPr>
          <w:lang w:val="en-US"/>
        </w:rPr>
        <w:lastRenderedPageBreak/>
        <w:t>El</w:t>
      </w:r>
      <w:r w:rsidRPr="003B2899">
        <w:rPr>
          <w:b/>
          <w:bCs/>
          <w:lang w:val="en-US"/>
        </w:rPr>
        <w:t xml:space="preserve"> </w:t>
      </w:r>
      <w:r w:rsidRPr="003B2899">
        <w:rPr>
          <w:rStyle w:val="Textoennegrita"/>
          <w:b w:val="0"/>
          <w:bCs w:val="0"/>
          <w:lang w:val="en-US"/>
        </w:rPr>
        <w:t xml:space="preserve">Declaración Universal de Derechos Humanos (DUDH) </w:t>
      </w:r>
      <w:r w:rsidRPr="003B2899">
        <w:rPr>
          <w:b/>
          <w:bCs/>
          <w:lang w:val="en-US"/>
        </w:rPr>
        <w:t xml:space="preserve">, </w:t>
      </w:r>
      <w:r w:rsidRPr="003B2899">
        <w:rPr>
          <w:lang w:val="en-US"/>
        </w:rPr>
        <w:t>adoptada por la</w:t>
      </w:r>
      <w:r w:rsidRPr="003B2899">
        <w:rPr>
          <w:b/>
          <w:bCs/>
          <w:lang w:val="en-US"/>
        </w:rPr>
        <w:t xml:space="preserve"> </w:t>
      </w:r>
      <w:r w:rsidRPr="003B2899">
        <w:rPr>
          <w:rStyle w:val="Textoennegrita"/>
          <w:b w:val="0"/>
          <w:bCs w:val="0"/>
          <w:lang w:val="en-US"/>
        </w:rPr>
        <w:t xml:space="preserve">Asamblea General de las Naciones Unidas, el 10 de diciembre de 1948 </w:t>
      </w:r>
      <w:r w:rsidRPr="003B2899">
        <w:rPr>
          <w:lang w:val="en-US"/>
        </w:rPr>
        <w:t>(ONU, 1948), constituye una</w:t>
      </w:r>
      <w:r w:rsidRPr="003B2899">
        <w:rPr>
          <w:b/>
          <w:bCs/>
          <w:lang w:val="en-US"/>
        </w:rPr>
        <w:t xml:space="preserve"> </w:t>
      </w:r>
      <w:r w:rsidRPr="003B2899">
        <w:rPr>
          <w:rStyle w:val="Textoennegrita"/>
          <w:b w:val="0"/>
          <w:bCs w:val="0"/>
          <w:lang w:val="en-US"/>
        </w:rPr>
        <w:t>pilar fundacional y fundamental</w:t>
      </w:r>
      <w:r w:rsidRPr="003B2899">
        <w:rPr>
          <w:b/>
          <w:bCs/>
          <w:lang w:val="en-US"/>
        </w:rPr>
        <w:t xml:space="preserve"> </w:t>
      </w:r>
      <w:r w:rsidRPr="003B2899">
        <w:rPr>
          <w:lang w:val="en-US"/>
        </w:rPr>
        <w:t>que articula el</w:t>
      </w:r>
      <w:r w:rsidRPr="003B2899">
        <w:rPr>
          <w:b/>
          <w:bCs/>
          <w:lang w:val="en-US"/>
        </w:rPr>
        <w:t xml:space="preserve"> </w:t>
      </w:r>
      <w:r w:rsidRPr="003B2899">
        <w:rPr>
          <w:rStyle w:val="Textoennegrita"/>
          <w:b w:val="0"/>
          <w:bCs w:val="0"/>
          <w:lang w:val="en-US"/>
        </w:rPr>
        <w:t xml:space="preserve">derechos humanos inalienables </w:t>
      </w:r>
      <w:r w:rsidRPr="003B2899">
        <w:rPr>
          <w:lang w:val="en-US"/>
        </w:rPr>
        <w:t>que deben ser defendidos y protegidos universalmente.</w:t>
      </w:r>
    </w:p>
    <w:p w14:paraId="58C0B9DD" w14:textId="216C8425" w:rsidR="006B21B1" w:rsidRPr="003B2899" w:rsidRDefault="00DC78F7" w:rsidP="007B71C0">
      <w:pPr>
        <w:spacing w:before="0" w:after="0" w:line="360" w:lineRule="auto"/>
        <w:ind w:firstLine="709"/>
        <w:jc w:val="both"/>
        <w:rPr>
          <w:b/>
          <w:bCs/>
          <w:lang w:val="en-US"/>
        </w:rPr>
      </w:pPr>
      <w:r w:rsidRPr="003B2899">
        <w:rPr>
          <w:lang w:val="en-US"/>
        </w:rPr>
        <w:t xml:space="preserve">Para </w:t>
      </w:r>
      <w:r w:rsidR="00EF72CC" w:rsidRPr="003B2899">
        <w:rPr>
          <w:lang w:val="en-US"/>
        </w:rPr>
        <w:t>implementar el marco global de derechos humanos que establece la Declaración Universal de Derechos Humanos en contextos específicos, diversos segmentos de la población mundial han recibido convenciones internacionales específicas diseñadas para salvaguardar, reafirmar y codificar sus derechos. Estas convenciones han sido fundamentales para promover y proteger los derechos de diversos grupos.</w:t>
      </w:r>
      <w:r w:rsidRPr="003B2899">
        <w:rPr>
          <w:b/>
          <w:bCs/>
          <w:lang w:val="en-US"/>
        </w:rPr>
        <w:t xml:space="preserve"> </w:t>
      </w:r>
      <w:r w:rsidRPr="003B2899">
        <w:rPr>
          <w:lang w:val="en-US"/>
        </w:rPr>
        <w:t>En 1979, se adoptó la Convención sobre la Eliminación de Todas las Formas de Discriminación contra la Mujer (CEDAW), a menudo considerada como una "carta internacional de derechos" para las mujeres, que establecía protecciones legales contra todas las formas de discriminación basada en el género. Una década después, en 1989, se adoptó la Convención sobre los Derechos del Niño (CDN) (20 de noviembre de 1989) para consagrar y estandarizar los derechos de los niños a escala mundial. Al año siguiente, los trabajadores migrantes también fueron reconocidos formalmente bajo el derecho internacional con la adopción de la Convención Internacional sobre la Protección de los Derechos de Todos los Trabajadores Migratorios y de sus Familiares (ICMW) en diciembre de 1990, asegurando protecciones contra la explotación y las violaciones de sus derechos fundamentales. Más recientemente, se adoptó la Convención sobre los Derechos de las Personas con Discapacidad (CDPD) el 13 de diciembre de 2006, con el objetivo de promover, proteger y garantizar el disfrute pleno e igualitario de todos los derechos humanos por parte de las personas con discapacidad.</w:t>
      </w:r>
    </w:p>
    <w:p w14:paraId="19EE0760" w14:textId="60F764A4" w:rsidR="009F695A" w:rsidRPr="003B2899" w:rsidRDefault="006B21B1" w:rsidP="003C3753">
      <w:pPr>
        <w:spacing w:before="0" w:after="0" w:line="360" w:lineRule="auto"/>
        <w:ind w:firstLine="709"/>
        <w:jc w:val="both"/>
        <w:rPr>
          <w:lang w:val="en-US"/>
        </w:rPr>
      </w:pPr>
      <w:r w:rsidRPr="003B2899">
        <w:rPr>
          <w:lang w:val="en-US"/>
        </w:rPr>
        <w:t xml:space="preserve">Dado que </w:t>
      </w:r>
      <w:r w:rsidRPr="003B2899">
        <w:rPr>
          <w:rStyle w:val="Textoennegrita"/>
          <w:b w:val="0"/>
          <w:bCs w:val="0"/>
          <w:lang w:val="en-US"/>
        </w:rPr>
        <w:t xml:space="preserve">una proporción significativa de personas mayores también padecen discapacidades </w:t>
      </w:r>
      <w:r w:rsidRPr="003B2899">
        <w:rPr>
          <w:lang w:val="en-US"/>
        </w:rPr>
        <w:t xml:space="preserve">, se argumenta con frecuencia que la </w:t>
      </w:r>
      <w:r w:rsidRPr="003B2899">
        <w:rPr>
          <w:rStyle w:val="Textoennegrita"/>
          <w:b w:val="0"/>
          <w:bCs w:val="0"/>
          <w:lang w:val="en-US"/>
        </w:rPr>
        <w:t xml:space="preserve">CDPD </w:t>
      </w:r>
      <w:r w:rsidRPr="003B2899">
        <w:rPr>
          <w:lang w:val="en-US"/>
        </w:rPr>
        <w:t xml:space="preserve">ya aborda muchas de las preocupaciones relacionadas con </w:t>
      </w:r>
      <w:r w:rsidRPr="003B2899">
        <w:rPr>
          <w:rStyle w:val="Textoennegrita"/>
          <w:b w:val="0"/>
          <w:bCs w:val="0"/>
          <w:lang w:val="en-US"/>
        </w:rPr>
        <w:t xml:space="preserve">los derechos de las personas mayores </w:t>
      </w:r>
      <w:r w:rsidRPr="003B2899">
        <w:rPr>
          <w:lang w:val="en-US"/>
        </w:rPr>
        <w:t xml:space="preserve">. Sin embargo, esta perspectiva pasa por alto lagunas cruciales, en particular respecto al </w:t>
      </w:r>
      <w:r w:rsidRPr="003B2899">
        <w:rPr>
          <w:rStyle w:val="Textoennegrita"/>
          <w:b w:val="0"/>
          <w:bCs w:val="0"/>
          <w:lang w:val="en-US"/>
        </w:rPr>
        <w:t xml:space="preserve">carácter sistémico del edadismo </w:t>
      </w:r>
      <w:r w:rsidRPr="003B2899">
        <w:rPr>
          <w:lang w:val="en-US"/>
        </w:rPr>
        <w:t xml:space="preserve">, que no está adecuadamente contemplado en los marcos internacionales existentes (Scheider-Yilmaz, M., </w:t>
      </w:r>
      <w:proofErr w:type="spellStart"/>
      <w:r w:rsidR="00714D5A" w:rsidRPr="003B2899">
        <w:rPr>
          <w:lang w:val="en-US"/>
        </w:rPr>
        <w:t>Viriot</w:t>
      </w:r>
      <w:proofErr w:type="spellEnd"/>
      <w:r w:rsidR="00714D5A" w:rsidRPr="003B2899">
        <w:rPr>
          <w:lang w:val="en-US"/>
        </w:rPr>
        <w:t xml:space="preserve"> Durandal, J.-P. y </w:t>
      </w:r>
      <w:proofErr w:type="spellStart"/>
      <w:r w:rsidR="00714D5A" w:rsidRPr="003B2899">
        <w:rPr>
          <w:lang w:val="en-US"/>
        </w:rPr>
        <w:t>Fougeyrollas</w:t>
      </w:r>
      <w:proofErr w:type="spellEnd"/>
      <w:r w:rsidR="00714D5A" w:rsidRPr="003B2899">
        <w:rPr>
          <w:lang w:val="en-US"/>
        </w:rPr>
        <w:t xml:space="preserve"> , P., 2023; Mercat Brun, M. y </w:t>
      </w:r>
      <w:r w:rsidR="00EF2084" w:rsidRPr="003B2899">
        <w:rPr>
          <w:lang w:val="en-US"/>
        </w:rPr>
        <w:t>Gründler, T., 2024).</w:t>
      </w:r>
    </w:p>
    <w:p w14:paraId="21B09843" w14:textId="5A7E677D" w:rsidR="00EB7723" w:rsidRDefault="006B21B1" w:rsidP="003C3753">
      <w:pPr>
        <w:spacing w:line="360" w:lineRule="auto"/>
        <w:ind w:firstLine="709"/>
        <w:jc w:val="both"/>
        <w:rPr>
          <w:lang w:val="en-US"/>
        </w:rPr>
      </w:pPr>
      <w:r w:rsidRPr="003B2899">
        <w:rPr>
          <w:lang w:val="en-US"/>
        </w:rPr>
        <w:t xml:space="preserve">A día de hoy, todavía no existe </w:t>
      </w:r>
      <w:r w:rsidRPr="003B2899">
        <w:rPr>
          <w:rStyle w:val="Textoennegrita"/>
          <w:b w:val="0"/>
          <w:bCs w:val="0"/>
          <w:lang w:val="en-US"/>
        </w:rPr>
        <w:t xml:space="preserve">una convención internacional dedicada </w:t>
      </w:r>
      <w:r w:rsidRPr="003B2899">
        <w:rPr>
          <w:lang w:val="en-US"/>
        </w:rPr>
        <w:t xml:space="preserve">exclusivamente </w:t>
      </w:r>
      <w:r w:rsidRPr="003B2899">
        <w:rPr>
          <w:rStyle w:val="Textoennegrita"/>
          <w:b w:val="0"/>
          <w:bCs w:val="0"/>
          <w:lang w:val="en-US"/>
        </w:rPr>
        <w:t xml:space="preserve">a consagrar los derechos de las personas mayores </w:t>
      </w:r>
      <w:r w:rsidRPr="003B2899">
        <w:rPr>
          <w:lang w:val="en-US"/>
        </w:rPr>
        <w:t xml:space="preserve">. Además, la mayoría de las declaraciones programáticas internacionales, como los Objetivos de Desarrollo del Milenio (ODM), </w:t>
      </w:r>
      <w:r w:rsidRPr="003B2899">
        <w:rPr>
          <w:lang w:val="en-US"/>
        </w:rPr>
        <w:lastRenderedPageBreak/>
        <w:t xml:space="preserve">ignoraron en gran medida las cuestiones del envejecimiento. A pesar de los esfuerzos en curso, el concepto de una </w:t>
      </w:r>
      <w:r w:rsidRPr="003B2899">
        <w:rPr>
          <w:rStyle w:val="Textoennegrita"/>
          <w:b w:val="0"/>
          <w:bCs w:val="0"/>
          <w:lang w:val="en-US"/>
        </w:rPr>
        <w:t xml:space="preserve">Convención Internacional sobre los Derechos de las Personas Mayores </w:t>
      </w:r>
      <w:r w:rsidRPr="003B2899">
        <w:rPr>
          <w:lang w:val="en-US"/>
        </w:rPr>
        <w:t xml:space="preserve">sigue encontrando </w:t>
      </w:r>
      <w:r w:rsidRPr="003B2899">
        <w:rPr>
          <w:rStyle w:val="Textoennegrita"/>
          <w:b w:val="0"/>
          <w:bCs w:val="0"/>
          <w:lang w:val="en-US"/>
        </w:rPr>
        <w:t xml:space="preserve">resistencia y rechazo persistentes </w:t>
      </w:r>
      <w:r w:rsidRPr="003B2899">
        <w:rPr>
          <w:lang w:val="en-US"/>
        </w:rPr>
        <w:t xml:space="preserve">. Las convenciones internacionales han enfatizado durante mucho tiempo el </w:t>
      </w:r>
      <w:r w:rsidRPr="003B2899">
        <w:rPr>
          <w:rStyle w:val="Textoennegrita"/>
          <w:b w:val="0"/>
          <w:bCs w:val="0"/>
          <w:lang w:val="en-US"/>
        </w:rPr>
        <w:t xml:space="preserve">imperativo de la implementación global </w:t>
      </w:r>
      <w:r w:rsidRPr="003B2899">
        <w:rPr>
          <w:lang w:val="en-US"/>
        </w:rPr>
        <w:t xml:space="preserve">de los principios de derechos humanos, una necesidad que se ha vuelto aún más apremiante a raíz de la </w:t>
      </w:r>
      <w:r w:rsidRPr="003B2899">
        <w:rPr>
          <w:rStyle w:val="Textoennegrita"/>
          <w:b w:val="0"/>
          <w:bCs w:val="0"/>
          <w:lang w:val="en-US"/>
        </w:rPr>
        <w:t xml:space="preserve">pandemia de COVID-19 </w:t>
      </w:r>
      <w:r w:rsidRPr="003B2899">
        <w:rPr>
          <w:lang w:val="en-US"/>
        </w:rPr>
        <w:t xml:space="preserve">, que expuso crudamente las </w:t>
      </w:r>
      <w:r w:rsidRPr="003B2899">
        <w:rPr>
          <w:rStyle w:val="Textoennegrita"/>
          <w:b w:val="0"/>
          <w:bCs w:val="0"/>
          <w:lang w:val="en-US"/>
        </w:rPr>
        <w:t>condiciones precarias, la discriminación sistémica y las vulnerabilidades que enfrentan las poblaciones mayores en todo el mundo.</w:t>
      </w:r>
      <w:r w:rsidR="00426934" w:rsidRPr="003B2899">
        <w:rPr>
          <w:lang w:val="en-US"/>
        </w:rPr>
        <w:t xml:space="preserve"> </w:t>
      </w:r>
    </w:p>
    <w:p w14:paraId="58BD18FF" w14:textId="77777777" w:rsidR="00755EC4" w:rsidRPr="003B2899" w:rsidRDefault="00755EC4" w:rsidP="003C3753">
      <w:pPr>
        <w:spacing w:line="360" w:lineRule="auto"/>
        <w:ind w:firstLine="709"/>
        <w:jc w:val="both"/>
        <w:rPr>
          <w:lang w:val="en-US"/>
        </w:rPr>
      </w:pPr>
    </w:p>
    <w:p w14:paraId="0C16B437" w14:textId="0B7989E6" w:rsidR="002C1205" w:rsidRPr="003C3753" w:rsidRDefault="00EB7723" w:rsidP="003C3753">
      <w:pPr>
        <w:pStyle w:val="Ttulo2"/>
        <w:numPr>
          <w:ilvl w:val="1"/>
          <w:numId w:val="38"/>
        </w:numPr>
        <w:spacing w:line="276" w:lineRule="auto"/>
        <w:jc w:val="center"/>
        <w:rPr>
          <w:sz w:val="28"/>
          <w:szCs w:val="28"/>
          <w:lang w:val="en-US"/>
        </w:rPr>
      </w:pPr>
      <w:r w:rsidRPr="003C3753">
        <w:rPr>
          <w:sz w:val="28"/>
          <w:szCs w:val="28"/>
          <w:lang w:val="en-US"/>
        </w:rPr>
        <w:t xml:space="preserve">Se ha registrado una importante movilización </w:t>
      </w:r>
      <w:r w:rsidR="002C1205" w:rsidRPr="003C3753">
        <w:rPr>
          <w:sz w:val="28"/>
          <w:szCs w:val="28"/>
          <w:lang w:val="en-US"/>
        </w:rPr>
        <w:t>en las últimas décadas</w:t>
      </w:r>
    </w:p>
    <w:p w14:paraId="30A5403E" w14:textId="77777777" w:rsidR="00420D95" w:rsidRPr="003B2899" w:rsidRDefault="00420D95" w:rsidP="003C3753">
      <w:pPr>
        <w:spacing w:before="0" w:after="0" w:line="360" w:lineRule="auto"/>
        <w:ind w:firstLine="709"/>
        <w:rPr>
          <w:lang w:val="en-US"/>
        </w:rPr>
      </w:pPr>
      <w:r w:rsidRPr="003B2899">
        <w:rPr>
          <w:lang w:val="en-US" w:eastAsia="fr-FR"/>
        </w:rPr>
        <w:t xml:space="preserve">El envejecimiento emergió en el escenario internacional como un desafío importante para las políticas públicas y los derechos fundamentales con la adopción del </w:t>
      </w:r>
      <w:r w:rsidRPr="003B2899">
        <w:rPr>
          <w:lang w:val="en-US"/>
        </w:rPr>
        <w:t>Plan de Acción Internacional de Viena sobre el Envejecimiento de 1982, que históricamente representa la primera piedra angular del marco de las Naciones Unidas sobre transiciones demográficas. A partir de ese momento, la ONU abordó formalmente los efectos del envejecimiento en las sociedades contemporáneas y comenzó a estructurar su enfoque sobre los derechos de las personas mayores, en particular a través del Departamento de Asuntos Económicos y Sociales de las Naciones Unidas (DAES) y el Punto Focal sobre el Envejecimiento, así como del Consejo Económico y Social de las Naciones Unidas (ECOSOC).</w:t>
      </w:r>
    </w:p>
    <w:p w14:paraId="4E9E59CC" w14:textId="77777777" w:rsidR="00420D95" w:rsidRPr="003B2899" w:rsidRDefault="00420D95" w:rsidP="003C3753">
      <w:pPr>
        <w:spacing w:before="0" w:after="0" w:line="360" w:lineRule="auto"/>
        <w:ind w:firstLine="709"/>
        <w:rPr>
          <w:lang w:val="en-US" w:eastAsia="fr-FR"/>
        </w:rPr>
      </w:pPr>
      <w:r w:rsidRPr="003B2899">
        <w:rPr>
          <w:lang w:val="en-US"/>
        </w:rPr>
        <w:t xml:space="preserve">Desde entonces, la ONU ha organizado debates recurrentes de alto nivel, que culminaron veinte años después en el Plan de Acción Internacional de Madrid sobre el Envejecimiento (PAIM) de 2002. </w:t>
      </w:r>
      <w:r w:rsidRPr="003B2899">
        <w:rPr>
          <w:lang w:val="en-US" w:eastAsia="fr-FR"/>
        </w:rPr>
        <w:t>Con el tiempo, la ONU buscó establecer una evaluación sistemática de este plan a nivel regional (continental y subcontinental) en 2007 y, posteriormente, en Viena en 2012. A través de estos diversos hitos, la ONU facilitó el surgimiento de debates supranacionales sobre el envejecimiento, impulsando reflexiones sobre políticas públicas más allá de los marcos nacionales y sentando las bases para un debate internacional sobre derechos.</w:t>
      </w:r>
    </w:p>
    <w:p w14:paraId="2BE7C7B2" w14:textId="77777777" w:rsidR="00420D95" w:rsidRPr="003B2899" w:rsidRDefault="00420D95" w:rsidP="003C3753">
      <w:pPr>
        <w:spacing w:before="0" w:after="0" w:line="360" w:lineRule="auto"/>
        <w:ind w:firstLine="709"/>
        <w:jc w:val="both"/>
        <w:rPr>
          <w:lang w:val="en-US" w:eastAsia="fr-FR"/>
        </w:rPr>
      </w:pPr>
      <w:r w:rsidRPr="003B2899">
        <w:rPr>
          <w:lang w:val="en-US" w:eastAsia="fr-FR"/>
        </w:rPr>
        <w:t xml:space="preserve">Mediante la movilización de datos, el fomento de las comparaciones internacionales —en particular mediante el seguimiento de las políticas de envejecimiento a nivel mundial— y la participación de actores clave en importantes debates políticos sobre los derechos de las personas mayores, la ONU ha sentado las bases para una investigación global sobre la posible adopción de una convención internacional sobre los derechos de las personas mayores. </w:t>
      </w:r>
      <w:r w:rsidRPr="003B2899">
        <w:rPr>
          <w:lang w:val="en-US" w:eastAsia="fr-FR"/>
        </w:rPr>
        <w:lastRenderedPageBreak/>
        <w:t>Gobiernos, organizaciones no gubernamentales y expertos internacionales han participado activamente en estas deliberaciones.</w:t>
      </w:r>
    </w:p>
    <w:p w14:paraId="75E4B04F" w14:textId="7E25DA3F" w:rsidR="00420D95" w:rsidRPr="003B2899" w:rsidRDefault="00420D95" w:rsidP="003C3753">
      <w:pPr>
        <w:spacing w:before="0" w:after="0" w:line="360" w:lineRule="auto"/>
        <w:ind w:firstLine="709"/>
        <w:jc w:val="both"/>
        <w:rPr>
          <w:lang w:val="en-US" w:eastAsia="fr-FR"/>
        </w:rPr>
      </w:pPr>
      <w:r w:rsidRPr="003B2899">
        <w:rPr>
          <w:lang w:val="en-US" w:eastAsia="fr-FR"/>
        </w:rPr>
        <w:t xml:space="preserve">Para impulsar este diálogo, en 2010 se estableció un Grupo de Trabajo de Composición Abierta sobre el Envejecimiento (GTCA) para reunir a todas las partes interesadas relevantes en torno al proyecto de la convención. </w:t>
      </w:r>
      <w:r w:rsidR="0055218B" w:rsidRPr="003B2899">
        <w:rPr>
          <w:lang w:val="en-US"/>
        </w:rPr>
        <w:t xml:space="preserve">El Grupo de Trabajo de Composición Abierta sobre el Envejecimiento (GTCA) de las Naciones Unidas, establecido en 2010, logró un consenso histórico al reconocer las graves deficiencias en el marco internacional de derechos humanos en relación con las personas mayores. El grupo recomendó formalmente la creación de un nuevo tratado de derechos humanos dedicado específicamente a proteger los derechos de las personas mayores. </w:t>
      </w:r>
      <w:r w:rsidR="0055218B" w:rsidRPr="003B2899">
        <w:rPr>
          <w:lang w:val="en-US" w:eastAsia="fr-FR"/>
        </w:rPr>
        <w:t xml:space="preserve">Posteriormente, el 27 de septiembre de 2013, el Consejo de Derechos Humanos adoptó la Resolución 24/20, que estableció el mandato de la Experta Independiente sobre el Disfrute de Todos los Derechos Humanos por las Personas Mayores. Rosita Kornfeld se convirtió en la primera experta internacional en la historia de la ONU y ha </w:t>
      </w:r>
      <w:r w:rsidRPr="003B2899">
        <w:rPr>
          <w:lang w:val="en-US" w:eastAsia="fr-FR"/>
        </w:rPr>
        <w:t>impulsado importantes iniciativas para impulsar la convención. Este mandato fue renovado recientemente mediante la Resolución 51/4 en 2022.</w:t>
      </w:r>
    </w:p>
    <w:p w14:paraId="4F3071AC" w14:textId="63BEF0D6" w:rsidR="00EB7723" w:rsidRPr="003B2899" w:rsidRDefault="0055218B" w:rsidP="003C3753">
      <w:pPr>
        <w:spacing w:before="0" w:after="0" w:line="360" w:lineRule="auto"/>
        <w:ind w:firstLine="709"/>
        <w:jc w:val="both"/>
        <w:rPr>
          <w:lang w:val="en-US" w:eastAsia="fr-FR"/>
        </w:rPr>
      </w:pPr>
      <w:r w:rsidRPr="003B2899">
        <w:rPr>
          <w:lang w:val="en-US" w:eastAsia="fr-FR"/>
        </w:rPr>
        <w:t>Anteriormente, otro paso importante se produjo en octubre de 2021, cuando el Consejo de Derechos Humanos de la ONU adoptó su primera resolución sustancial centrada en los derechos de las personas mayores. Esta resolución instó a todos los Estados miembros a prohibir la discriminación por edad e implementar medidas concretas para combatir el edadismo. Además, encargó al Alto Comisionado de las Naciones Unidas para los Derechos Humanos la elaboración de un informe sobre las normas jurídicas internacionales para la protección de las personas mayores, lo que representa un avance significativo hacia el desarrollo de una convención específica.</w:t>
      </w:r>
    </w:p>
    <w:p w14:paraId="1085AAB4" w14:textId="5DF97E36" w:rsidR="00EB7723" w:rsidRPr="003B2899" w:rsidRDefault="00B26693" w:rsidP="003C3753">
      <w:pPr>
        <w:spacing w:before="0" w:after="0" w:line="360" w:lineRule="auto"/>
        <w:ind w:firstLine="709"/>
        <w:jc w:val="both"/>
        <w:rPr>
          <w:lang w:val="en-US"/>
        </w:rPr>
      </w:pPr>
      <w:r w:rsidRPr="003B2899">
        <w:rPr>
          <w:lang w:val="en-US" w:eastAsia="fr-FR"/>
        </w:rPr>
        <w:t xml:space="preserve">Con la pandemia de COVID, grandes organizaciones fuera del campo del envejecimiento tomaron conciencia de la importancia de los derechos de las personas mayores y comenzaron a crear conciencia sobre este tema y a convertirse en defensores de las personas mayores. En 2020 , </w:t>
      </w:r>
      <w:r w:rsidR="00FB1411" w:rsidRPr="003B2899">
        <w:rPr>
          <w:lang w:val="en-US"/>
        </w:rPr>
        <w:t xml:space="preserve">Amnistía Internacional redactó un informe muy importante durante la COVID para alertar a los tomadores de decisiones públicos y a la opinión pública (Amnistía Internacional, 2020). </w:t>
      </w:r>
      <w:r w:rsidR="00EB7723" w:rsidRPr="003B2899">
        <w:rPr>
          <w:lang w:val="en-US" w:eastAsia="fr-FR"/>
        </w:rPr>
        <w:t xml:space="preserve">En 2024, Amnistía Internacional reforzó este impulso con el lanzamiento de la campaña </w:t>
      </w:r>
      <w:r w:rsidR="00EB7723" w:rsidRPr="003B2899">
        <w:rPr>
          <w:i/>
          <w:iCs/>
          <w:lang w:val="en-US" w:eastAsia="fr-FR"/>
        </w:rPr>
        <w:t xml:space="preserve">Age Loud!, </w:t>
      </w:r>
      <w:r w:rsidR="00EB7723" w:rsidRPr="003B2899">
        <w:rPr>
          <w:lang w:val="en-US" w:eastAsia="fr-FR"/>
        </w:rPr>
        <w:t xml:space="preserve">una iniciativa destinada a abordar la discriminación y el abuso relacionados con la edad (Amnistía Internacional, 2024). La campaña subraya la necesidad urgente de una convención de la ONU que defina claramente las obligaciones de los Estados </w:t>
      </w:r>
      <w:r w:rsidR="00EB7723" w:rsidRPr="003B2899">
        <w:rPr>
          <w:lang w:val="en-US" w:eastAsia="fr-FR"/>
        </w:rPr>
        <w:lastRenderedPageBreak/>
        <w:t>para la protección de las personas mayores a nivel nacional. Al destacar problemas como la discriminación por edad, el abandono y el abuso, aboga por un marco integral y jurídicamente vinculante para garantizar que se respeten la dignidad y los derechos de las personas mayores.</w:t>
      </w:r>
    </w:p>
    <w:p w14:paraId="30453CEE" w14:textId="1ED384EF" w:rsidR="009F695A" w:rsidRDefault="00EB7723" w:rsidP="003C3753">
      <w:pPr>
        <w:spacing w:before="0" w:after="0" w:line="360" w:lineRule="auto"/>
        <w:ind w:firstLine="709"/>
        <w:jc w:val="both"/>
        <w:rPr>
          <w:lang w:val="en-US" w:eastAsia="fr-FR"/>
        </w:rPr>
      </w:pPr>
      <w:r w:rsidRPr="003B2899">
        <w:rPr>
          <w:lang w:val="en-US" w:eastAsia="fr-FR"/>
        </w:rPr>
        <w:t>Estos avances reflejan un creciente debate internacional sobre la creación (o no) de un instrumento jurídico para salvaguardar los derechos de las personas mayores.</w:t>
      </w:r>
    </w:p>
    <w:p w14:paraId="3EA38A89" w14:textId="77777777" w:rsidR="003C3753" w:rsidRPr="003B2899" w:rsidRDefault="003C3753" w:rsidP="003C3753">
      <w:pPr>
        <w:spacing w:before="0" w:after="0" w:line="360" w:lineRule="auto"/>
        <w:ind w:firstLine="709"/>
        <w:jc w:val="both"/>
        <w:rPr>
          <w:rStyle w:val="Textoennegrita"/>
          <w:b w:val="0"/>
          <w:bCs w:val="0"/>
          <w:lang w:val="en-US" w:eastAsia="fr-FR"/>
        </w:rPr>
      </w:pPr>
    </w:p>
    <w:p w14:paraId="24848CE3" w14:textId="170B4565" w:rsidR="005345BD" w:rsidRPr="003C3753" w:rsidRDefault="009B07E9" w:rsidP="003C3753">
      <w:pPr>
        <w:pStyle w:val="Ttulo2"/>
        <w:numPr>
          <w:ilvl w:val="1"/>
          <w:numId w:val="38"/>
        </w:numPr>
        <w:spacing w:line="276" w:lineRule="auto"/>
        <w:jc w:val="center"/>
        <w:rPr>
          <w:sz w:val="28"/>
          <w:szCs w:val="28"/>
          <w:lang w:val="en-US"/>
        </w:rPr>
      </w:pPr>
      <w:bookmarkStart w:id="9" w:name="_Toc193356882"/>
      <w:r w:rsidRPr="003C3753">
        <w:rPr>
          <w:sz w:val="28"/>
          <w:szCs w:val="28"/>
          <w:lang w:val="en-US"/>
        </w:rPr>
        <w:t>¿Sudamérica como precursora?</w:t>
      </w:r>
      <w:bookmarkEnd w:id="9"/>
    </w:p>
    <w:p w14:paraId="0544EC74" w14:textId="19636CF4" w:rsidR="004E7167" w:rsidRPr="003B2899" w:rsidRDefault="009B07E9" w:rsidP="003C3753">
      <w:pPr>
        <w:spacing w:before="0" w:after="0" w:line="360" w:lineRule="auto"/>
        <w:ind w:firstLine="709"/>
        <w:jc w:val="both"/>
        <w:rPr>
          <w:lang w:val="en-US" w:eastAsia="fr-FR"/>
        </w:rPr>
      </w:pPr>
      <w:r w:rsidRPr="003B2899">
        <w:rPr>
          <w:lang w:val="en-US" w:eastAsia="fr-FR"/>
        </w:rPr>
        <w:t>En ausencia de un tratado internacional, surgieron varias iniciativas regionales que impulsaron la idea de derechos supranacionales respecto de los ciudadanos mayores y desarrollaron marcos originales de cooperación, monitoreo e implementación.</w:t>
      </w:r>
    </w:p>
    <w:p w14:paraId="48A00524" w14:textId="08277007" w:rsidR="009A75D0" w:rsidRPr="003B2899" w:rsidRDefault="00B517AE" w:rsidP="003C3753">
      <w:pPr>
        <w:spacing w:before="0" w:after="0" w:line="360" w:lineRule="auto"/>
        <w:ind w:firstLine="709"/>
        <w:jc w:val="both"/>
        <w:rPr>
          <w:color w:val="1B1B1B"/>
          <w:lang w:val="en-US" w:eastAsia="fr-FR"/>
        </w:rPr>
      </w:pPr>
      <w:r w:rsidRPr="003B2899">
        <w:rPr>
          <w:lang w:val="en-US" w:eastAsia="fr-FR"/>
        </w:rPr>
        <w:t xml:space="preserve">La primera iniciativa se lanzó en América Latina y el Caribe con la Carta de San José sobre los Derechos de las Personas Mayores, adoptada en mayo de 2012 durante la Tercera Conferencia Regional Intergubernamental sobre Envejecimiento en América Latina y el Caribe, celebrada en San José, Costa Rica (CEPAL, 2012). Esta carta enfatiza el compromiso de los gobiernos participantes de promover y proteger los derechos humanos y las libertades fundamentales de </w:t>
      </w:r>
      <w:r w:rsidR="004B1E23" w:rsidRPr="003B2899">
        <w:rPr>
          <w:lang w:val="en-US" w:eastAsia="fr-FR"/>
        </w:rPr>
        <w:t xml:space="preserve">las personas mayores y prohibir cualquier forma de discriminación y violencia </w:t>
      </w:r>
      <w:r w:rsidRPr="003B2899">
        <w:rPr>
          <w:lang w:val="en-US" w:eastAsia="fr-FR"/>
        </w:rPr>
        <w:t xml:space="preserve">por razón de </w:t>
      </w:r>
      <w:proofErr w:type="gramStart"/>
      <w:r w:rsidRPr="003B2899">
        <w:rPr>
          <w:lang w:val="en-US" w:eastAsia="fr-FR"/>
        </w:rPr>
        <w:t>edad .</w:t>
      </w:r>
      <w:proofErr w:type="gramEnd"/>
      <w:r w:rsidRPr="003B2899">
        <w:rPr>
          <w:lang w:val="en-US" w:eastAsia="fr-FR"/>
        </w:rPr>
        <w:t xml:space="preserve"> Asimismo, aboga por el desarrollo de sistemas de protección social que garanticen el bienestar y la dignidad de las personas mayores.</w:t>
      </w:r>
      <w:r w:rsidRPr="003B2899">
        <w:rPr>
          <w:color w:val="1B1B1B"/>
          <w:lang w:val="en-US" w:eastAsia="fr-FR"/>
        </w:rPr>
        <w:t xml:space="preserve"> </w:t>
      </w:r>
    </w:p>
    <w:p w14:paraId="115B4DFA" w14:textId="391CB2D8" w:rsidR="008F5DF5" w:rsidRPr="003B2899" w:rsidRDefault="009A75D0" w:rsidP="003C3753">
      <w:pPr>
        <w:spacing w:before="0" w:after="0" w:line="360" w:lineRule="auto"/>
        <w:ind w:firstLine="709"/>
        <w:jc w:val="both"/>
        <w:rPr>
          <w:lang w:val="en-US" w:eastAsia="fr-FR"/>
        </w:rPr>
      </w:pPr>
      <w:r w:rsidRPr="003B2899">
        <w:rPr>
          <w:color w:val="1B1B1B"/>
          <w:lang w:val="en-US" w:eastAsia="fr-FR"/>
        </w:rPr>
        <w:t xml:space="preserve">Pocos años después, el proceso condujo a </w:t>
      </w:r>
      <w:r w:rsidR="00C71170" w:rsidRPr="003B2899">
        <w:rPr>
          <w:lang w:val="en-US" w:eastAsia="fr-FR"/>
        </w:rPr>
        <w:t xml:space="preserve">la Convención de San José, formalmente conocida como la </w:t>
      </w:r>
      <w:r w:rsidR="00C71170" w:rsidRPr="003B2899">
        <w:rPr>
          <w:i/>
          <w:iCs/>
          <w:lang w:val="en-US" w:eastAsia="fr-FR"/>
        </w:rPr>
        <w:t xml:space="preserve">Convención Interamericana sobre la Protección de los Derechos Humanos de las Personas Mayores </w:t>
      </w:r>
      <w:r w:rsidR="00C71170" w:rsidRPr="003B2899">
        <w:rPr>
          <w:lang w:val="en-US" w:eastAsia="fr-FR"/>
        </w:rPr>
        <w:t xml:space="preserve">. La convención fue adoptada en 2015 por la Organización de los Estados Americanos (OEA) como el primer tratado internacional jurídicamente vinculante dedicado a salvaguardar los derechos de las personas mayores. Establece un marco integral para garantizar la autonomía, la dignidad y la inclusión social de las personas mayores, al tiempo que aborda la discriminación por edad, el maltrato a las personas mayores y las barreras a servicios esenciales como la atención médica y la seguridad social, pero también la educación laboral, la participación social y política. Al obligar a los Estados a implementar medidas legales y políticas de protección, la Convención sirve como un mecanismo regional significativo, particularmente en América Latina y el Caribe, y un primer paso para demostrar la viabilidad de una convención vinculante. Su adopción subraya la eficacia de los instrumentos regionales de derechos humanos, especialmente en contraste con los esfuerzos globales en </w:t>
      </w:r>
      <w:r w:rsidR="00C71170" w:rsidRPr="003B2899">
        <w:rPr>
          <w:lang w:val="en-US" w:eastAsia="fr-FR"/>
        </w:rPr>
        <w:lastRenderedPageBreak/>
        <w:t xml:space="preserve">curso, como el Grupo de Trabajo de Composición Abierta sobre el Envejecimiento de la ONU, que aún no ha producido un acuerdo vinculante universal (Cisternas MS </w:t>
      </w:r>
      <w:r w:rsidR="001A322B" w:rsidRPr="003B2899">
        <w:rPr>
          <w:lang w:val="en-US" w:eastAsia="fr-FR"/>
        </w:rPr>
        <w:t xml:space="preserve">&amp; Kornfeld </w:t>
      </w:r>
      <w:r w:rsidR="00C20E67" w:rsidRPr="003B2899">
        <w:rPr>
          <w:lang w:val="en-US" w:eastAsia="fr-FR"/>
        </w:rPr>
        <w:t xml:space="preserve">-Matte, R., 2023). </w:t>
      </w:r>
      <w:r w:rsidR="009B07E9" w:rsidRPr="003B2899">
        <w:rPr>
          <w:color w:val="1B1B1B"/>
          <w:lang w:val="en-US" w:eastAsia="fr-FR"/>
        </w:rPr>
        <w:t>Esta convención regional también tiene como objetivo brindar experiencia para el desarrollo de un nuevo tratado internacional, y los defensores de esta convención esperan que las Naciones Unidas (ONU) desarrollen una Convención sobre los Derechos de las Personas Mayores (OEA, 2015; CEPAL, 2022).</w:t>
      </w:r>
      <w:r w:rsidR="009B07E9" w:rsidRPr="003B2899">
        <w:rPr>
          <w:lang w:val="en-US" w:eastAsia="fr-FR"/>
        </w:rPr>
        <w:t xml:space="preserve"> </w:t>
      </w:r>
    </w:p>
    <w:p w14:paraId="36C9A6C6" w14:textId="7D5BB891" w:rsidR="007A40EB" w:rsidRPr="003B2899" w:rsidRDefault="001B687A" w:rsidP="003C3753">
      <w:pPr>
        <w:spacing w:before="0" w:after="0" w:line="360" w:lineRule="auto"/>
        <w:ind w:firstLine="709"/>
        <w:jc w:val="both"/>
        <w:rPr>
          <w:lang w:val="en-US" w:eastAsia="fr-FR"/>
        </w:rPr>
      </w:pPr>
      <w:r w:rsidRPr="003B2899">
        <w:rPr>
          <w:lang w:val="en-US" w:eastAsia="fr-FR"/>
        </w:rPr>
        <w:t>La implementación de los derechos de las personas mayores y la integración del paradigma de la ciudadanía sostenible en una sociedad longeva requieren un cambio en los marcos de políticas, superando los enfoques proteccionistas y combatiendo las conductas edadistas (conscientes e inconscientes) para empoderar a las personas mayores como ciudadanos activos. Por otro lado, la integración de enfoques participativos en las políticas internacionales sobre envejecimiento, en particular en el marco del Decenio de las Naciones Unidas para el Envejecimiento Saludable (2021-2030), destaca la relevancia global de los mecanismos de gobernanza inclusiva que trascienden los contextos nacionales. En definitiva, el avance de las sociedades inclusivas en el siglo XXI depende del reconocimiento de que la ciudadanía es una tarea que dura toda la vida y que las personas mayores, lejos de ser receptores pasivos de las políticas, deben ser co-constructoras activas de la esfera pública.</w:t>
      </w:r>
    </w:p>
    <w:p w14:paraId="7CBE917B" w14:textId="7A8CBB99" w:rsidR="007A40EB" w:rsidRDefault="00C20E67" w:rsidP="003C3753">
      <w:pPr>
        <w:spacing w:before="0" w:after="0" w:line="360" w:lineRule="auto"/>
        <w:ind w:firstLine="709"/>
        <w:jc w:val="both"/>
        <w:rPr>
          <w:lang w:val="en-US" w:eastAsia="fr-FR"/>
        </w:rPr>
      </w:pPr>
      <w:r w:rsidRPr="003B2899">
        <w:rPr>
          <w:lang w:val="en-US" w:eastAsia="fr-FR"/>
        </w:rPr>
        <w:t xml:space="preserve">En este contexto, la Cátedra Internacional de </w:t>
      </w:r>
      <w:proofErr w:type="spellStart"/>
      <w:r w:rsidRPr="003B2899">
        <w:rPr>
          <w:lang w:val="en-US" w:eastAsia="fr-FR"/>
        </w:rPr>
        <w:t>Sociedades</w:t>
      </w:r>
      <w:proofErr w:type="spellEnd"/>
      <w:r w:rsidRPr="003B2899">
        <w:rPr>
          <w:lang w:val="en-US" w:eastAsia="fr-FR"/>
        </w:rPr>
        <w:t xml:space="preserve"> </w:t>
      </w:r>
      <w:proofErr w:type="spellStart"/>
      <w:r w:rsidRPr="003B2899">
        <w:rPr>
          <w:lang w:val="en-US" w:eastAsia="fr-FR"/>
        </w:rPr>
        <w:t>Inclusivas</w:t>
      </w:r>
      <w:proofErr w:type="spellEnd"/>
      <w:r w:rsidRPr="003B2899">
        <w:rPr>
          <w:lang w:val="en-US" w:eastAsia="fr-FR"/>
        </w:rPr>
        <w:t xml:space="preserve">, con </w:t>
      </w:r>
      <w:proofErr w:type="spellStart"/>
      <w:r w:rsidRPr="003B2899">
        <w:rPr>
          <w:lang w:val="en-US" w:eastAsia="fr-FR"/>
        </w:rPr>
        <w:t>el</w:t>
      </w:r>
      <w:proofErr w:type="spellEnd"/>
      <w:r w:rsidRPr="003B2899">
        <w:rPr>
          <w:lang w:val="en-US" w:eastAsia="fr-FR"/>
        </w:rPr>
        <w:t xml:space="preserve"> </w:t>
      </w:r>
      <w:proofErr w:type="spellStart"/>
      <w:r w:rsidRPr="003B2899">
        <w:rPr>
          <w:lang w:val="en-US" w:eastAsia="fr-FR"/>
        </w:rPr>
        <w:t>apoyo</w:t>
      </w:r>
      <w:proofErr w:type="spellEnd"/>
      <w:r w:rsidRPr="003B2899">
        <w:rPr>
          <w:lang w:val="en-US" w:eastAsia="fr-FR"/>
        </w:rPr>
        <w:t xml:space="preserve"> de la red francófona </w:t>
      </w:r>
      <w:r w:rsidRPr="003B2899">
        <w:rPr>
          <w:rStyle w:val="Textoennegrita"/>
          <w:b w:val="0"/>
          <w:bCs w:val="0"/>
          <w:lang w:val="en-US"/>
        </w:rPr>
        <w:t xml:space="preserve">REIACTIS, </w:t>
      </w:r>
      <w:r w:rsidR="00A80D53" w:rsidRPr="003B2899">
        <w:rPr>
          <w:rStyle w:val="Refdenotaalpie"/>
          <w:lang w:val="en-US"/>
        </w:rPr>
        <w:footnoteReference w:id="1"/>
      </w:r>
      <w:r w:rsidRPr="003B2899">
        <w:rPr>
          <w:lang w:val="en-US"/>
        </w:rPr>
        <w:t xml:space="preserve">se propuso pasar de una perspectiva teórica al desarrollo de una herramienta práctica para implementar procesos de empoderamiento con personas mayores. Por lo tanto, esta alianza de investigadores </w:t>
      </w:r>
      <w:r w:rsidR="0001453E" w:rsidRPr="003B2899">
        <w:rPr>
          <w:lang w:val="en-US" w:eastAsia="fr-FR"/>
        </w:rPr>
        <w:t xml:space="preserve">creó los Talleres de Diseño Ciudadano (CDW) (ver parte III más adelante). Esta iniciativa ofrece una respuesta modesta y pragmática de investigadores del ámbito académico para fomentar las metodologías participativas con el fin de mejorar la agencia de las poblaciones mayores, reforzando su papel en la coproducción de políticas públicas en todas las etapas de la toma de decisiones públicas, incluyendo la más local. Los conocimientos derivados de la experiencia francesa de los CDW ofrecen valiosas lecciones para el desarrollo de modelos participativos inclusivos con la edad en todo el mundo. En una perspectiva más amplia, se podría cuestionar el papel de las Ciencias Sociales y Humanas al abordar el tema de la participación ciudadana no solo desde una perspectiva crítica o teórica, </w:t>
      </w:r>
      <w:r w:rsidR="0001453E" w:rsidRPr="003B2899">
        <w:rPr>
          <w:lang w:val="en-US" w:eastAsia="fr-FR"/>
        </w:rPr>
        <w:lastRenderedPageBreak/>
        <w:t>sino también experimentando el proceso de empoderamiento desde el nivel local hasta los estratos más centrales de la decisión pública.</w:t>
      </w:r>
    </w:p>
    <w:p w14:paraId="23CD0AC8" w14:textId="77777777" w:rsidR="003C3753" w:rsidRPr="003B2899" w:rsidRDefault="003C3753" w:rsidP="003C3753">
      <w:pPr>
        <w:spacing w:before="0" w:after="0" w:line="360" w:lineRule="auto"/>
        <w:ind w:firstLine="709"/>
        <w:jc w:val="both"/>
        <w:rPr>
          <w:lang w:val="en-US" w:eastAsia="fr-FR"/>
        </w:rPr>
      </w:pPr>
    </w:p>
    <w:p w14:paraId="673B3322" w14:textId="239C5606" w:rsidR="005879E6" w:rsidRPr="003C3753" w:rsidRDefault="00EF72CC" w:rsidP="004404A8">
      <w:pPr>
        <w:pStyle w:val="Ttulo1"/>
        <w:numPr>
          <w:ilvl w:val="0"/>
          <w:numId w:val="38"/>
        </w:numPr>
        <w:spacing w:line="276" w:lineRule="auto"/>
        <w:jc w:val="both"/>
        <w:rPr>
          <w:szCs w:val="32"/>
          <w:lang w:val="en-US"/>
        </w:rPr>
      </w:pPr>
      <w:bookmarkStart w:id="10" w:name="_Toc193356883"/>
      <w:r w:rsidRPr="003C3753">
        <w:rPr>
          <w:szCs w:val="32"/>
          <w:lang w:val="en-US"/>
        </w:rPr>
        <w:t>De arriba a abajo: De los marcos teóricos y éticos a las iniciativas concretas hacia herramientas metodológicas para promover la inclusión, la ciudadanía y la participación de las personas mayores</w:t>
      </w:r>
      <w:bookmarkEnd w:id="10"/>
    </w:p>
    <w:p w14:paraId="3F9CD914" w14:textId="77777777" w:rsidR="00646F61" w:rsidRPr="003B2899" w:rsidRDefault="00646F61" w:rsidP="00895C6E">
      <w:pPr>
        <w:pStyle w:val="Sinespaciado"/>
        <w:rPr>
          <w:rFonts w:ascii="Times New Roman" w:hAnsi="Times New Roman" w:cs="Times New Roman"/>
          <w:lang w:val="en-US"/>
        </w:rPr>
      </w:pPr>
    </w:p>
    <w:p w14:paraId="65259F1A" w14:textId="40DAF097" w:rsidR="005879E6" w:rsidRPr="003C3753" w:rsidRDefault="005879E6" w:rsidP="003C3753">
      <w:pPr>
        <w:pStyle w:val="Ttulo2"/>
        <w:numPr>
          <w:ilvl w:val="1"/>
          <w:numId w:val="38"/>
        </w:numPr>
        <w:spacing w:line="276" w:lineRule="auto"/>
        <w:jc w:val="center"/>
        <w:rPr>
          <w:sz w:val="28"/>
          <w:szCs w:val="28"/>
          <w:lang w:val="en-US"/>
        </w:rPr>
      </w:pPr>
      <w:bookmarkStart w:id="11" w:name="_Toc193356884"/>
      <w:r w:rsidRPr="003C3753">
        <w:rPr>
          <w:sz w:val="28"/>
          <w:szCs w:val="28"/>
          <w:lang w:val="en-US"/>
        </w:rPr>
        <w:t>Génesis de los Talleres de Diseño Ciudadano (CDW) y Desarrollos Iniciales</w:t>
      </w:r>
      <w:bookmarkEnd w:id="11"/>
    </w:p>
    <w:p w14:paraId="42762E06" w14:textId="64EBB76C" w:rsidR="005879E6" w:rsidRPr="003B2899" w:rsidRDefault="005879E6" w:rsidP="005E1CF2">
      <w:pPr>
        <w:spacing w:before="0" w:after="0" w:line="360" w:lineRule="auto"/>
        <w:ind w:firstLine="709"/>
        <w:jc w:val="both"/>
        <w:rPr>
          <w:lang w:val="en-US" w:eastAsia="fr-FR"/>
        </w:rPr>
      </w:pPr>
      <w:r w:rsidRPr="003B2899">
        <w:rPr>
          <w:lang w:val="en-US" w:eastAsia="fr-FR"/>
        </w:rPr>
        <w:t>El enfoque adoptado por la Cátedra Internacional SIAGE se inspira en la sociología pública. Esta se refiere a la práctica de aplicar perspectivas, teorías e investigaciones sociológicas para involucrarse y contribuir al discurso público y a las problemáticas sociales más allá del ámbito académico. Implica utilizar perspectivas sociológicas para analizar y abordar problemas sociales, a la vez que se comunica el conocimiento sociológico a un público más amplio, incluyendo a legisladores, activistas, líderes comunitarios y la sociedad civil.</w:t>
      </w:r>
    </w:p>
    <w:p w14:paraId="4AD0683B" w14:textId="77777777" w:rsidR="005879E6" w:rsidRPr="003B2899" w:rsidRDefault="005879E6" w:rsidP="005E1CF2">
      <w:pPr>
        <w:spacing w:before="0" w:after="0" w:line="360" w:lineRule="auto"/>
        <w:ind w:firstLine="709"/>
        <w:jc w:val="both"/>
        <w:rPr>
          <w:lang w:val="en-US" w:eastAsia="fr-FR"/>
        </w:rPr>
      </w:pPr>
      <w:r w:rsidRPr="003B2899">
        <w:rPr>
          <w:lang w:val="en-US" w:eastAsia="fr-FR"/>
        </w:rPr>
        <w:t>Este artículo adopta un enfoque multiescalar, que abarca desde un análisis macrosociológico de principios y valores universales desarrollados a nivel global hasta su implementación en las interacciones locales con las personas directamente implicadas. Partiendo de la investigación más teórica sobre marcos internacionales de políticas públicas, el equipo de investigación perfecciona progresivamente su enfoque hacia métodos de campo diseñados para alinearse con estos principios fundamentales, practicando simultáneamente la sociología crítica y pragmática. En este contexto, examinamos los principios de la democracia participativa, en particular a través del empoderamiento de las personas mayores, con especial atención a su inclusión en los procesos de toma de decisiones de las políticas locales sobre envejecimiento.</w:t>
      </w:r>
    </w:p>
    <w:p w14:paraId="383B8749" w14:textId="652DE3DA" w:rsidR="005879E6" w:rsidRPr="003B2899" w:rsidRDefault="005879E6" w:rsidP="005E1CF2">
      <w:pPr>
        <w:spacing w:before="0" w:after="0" w:line="360" w:lineRule="auto"/>
        <w:ind w:firstLine="709"/>
        <w:jc w:val="both"/>
        <w:rPr>
          <w:lang w:val="en-US" w:eastAsia="fr-FR"/>
        </w:rPr>
      </w:pPr>
      <w:r w:rsidRPr="003B2899">
        <w:rPr>
          <w:lang w:val="en-US" w:eastAsia="fr-FR"/>
        </w:rPr>
        <w:t xml:space="preserve">Los Talleres de Diseño Ciudadano (TCD) representan tanto un desafío metodológico como una innovación. Liderados por un equipo de investigación francés dirigido por los profesores Jean-Philippe Viriot Durandal y Marion Scheider-Yilmaz, el método se experimentó inicialmente en la región de Lorena, en el este de Francia. Este enfoque participativo se </w:t>
      </w:r>
      <w:r w:rsidRPr="003B2899">
        <w:rPr>
          <w:lang w:val="en-US" w:eastAsia="fr-FR"/>
        </w:rPr>
        <w:lastRenderedPageBreak/>
        <w:t xml:space="preserve">distingue por su capacidad para incluir a poblaciones generalmente subrepresentadas o excluidas de los procesos consultivos, como las mujeres mayores de 80 años, los inmigrantes mayores y los residentes de residencias de ancianos. Esta metodología permite la participación directa de las personas mayores en los procesos de toma de decisiones sobre políticas locales. En particular, los TCD facilitaron consultas con personas mayores sobre políticas locales de envejecimiento y su adaptación tras la pandemia de COVID-19 en el marco del Programa Internacional de Investigación sobre los Derechos de las Personas Mayores durante la COVID-19 (RIDPA). Este programa, cuya finalización está prevista para 2025, ha puesto de relieve numerosos obstáculos a la integración activa de las personas mayores en las estructuras de gobernanza pública, tanto en circunstancias excepcionales como el período de la COVID-19 como en contextos más rutinarios anteriores y posteriores a la pandemia ( </w:t>
      </w:r>
      <w:proofErr w:type="spellStart"/>
      <w:r w:rsidRPr="003B2899">
        <w:rPr>
          <w:lang w:val="en-US" w:eastAsia="fr-FR"/>
        </w:rPr>
        <w:t>Argoud</w:t>
      </w:r>
      <w:proofErr w:type="spellEnd"/>
      <w:r w:rsidRPr="003B2899">
        <w:rPr>
          <w:lang w:val="en-US" w:eastAsia="fr-FR"/>
        </w:rPr>
        <w:t xml:space="preserve"> , 2022; </w:t>
      </w:r>
      <w:proofErr w:type="spellStart"/>
      <w:r w:rsidRPr="003B2899">
        <w:rPr>
          <w:lang w:val="en-US" w:eastAsia="fr-FR"/>
        </w:rPr>
        <w:t>Viriot-Durandal</w:t>
      </w:r>
      <w:proofErr w:type="spellEnd"/>
      <w:r w:rsidRPr="003B2899">
        <w:rPr>
          <w:lang w:val="en-US" w:eastAsia="fr-FR"/>
        </w:rPr>
        <w:t xml:space="preserve"> , 2003, 2007, 2012, 2015, 2024).</w:t>
      </w:r>
    </w:p>
    <w:p w14:paraId="5EC1CBEB" w14:textId="77777777" w:rsidR="005879E6" w:rsidRPr="003B2899" w:rsidRDefault="005879E6" w:rsidP="005E1CF2">
      <w:pPr>
        <w:spacing w:before="0" w:after="0" w:line="360" w:lineRule="auto"/>
        <w:ind w:firstLine="709"/>
        <w:jc w:val="both"/>
        <w:rPr>
          <w:lang w:val="en-US" w:eastAsia="fr-FR"/>
        </w:rPr>
      </w:pPr>
      <w:r w:rsidRPr="003B2899">
        <w:rPr>
          <w:lang w:val="en-US" w:eastAsia="fr-FR"/>
        </w:rPr>
        <w:t>Una de las principales ventajas de la metodología del Taller de Diseño Ciudadano es que va más allá de la simple identificación de las necesidades específicas de las personas mayores en su entorno o la catalogación de sus quejas. En cambio, la metodología culmina en la formulación de propuestas concretas y estructuradas, compiladas en un "Memorando Ciudadano", que posteriormente es presentado por los propios participantes mayores a los funcionarios electos locales. Este proceso promueve la inclusión social y la ciudadanía activa, a la vez que mejora las políticas locales mediante la experiencia adquirida.</w:t>
      </w:r>
    </w:p>
    <w:p w14:paraId="4BB8CC63" w14:textId="77F5489A" w:rsidR="005879E6" w:rsidRPr="003B2899" w:rsidRDefault="005879E6" w:rsidP="005E1CF2">
      <w:pPr>
        <w:spacing w:before="0" w:after="0" w:line="360" w:lineRule="auto"/>
        <w:ind w:firstLine="709"/>
        <w:jc w:val="both"/>
        <w:rPr>
          <w:lang w:val="en-US" w:eastAsia="fr-FR"/>
        </w:rPr>
      </w:pPr>
      <w:r w:rsidRPr="003B2899">
        <w:rPr>
          <w:lang w:val="en-US" w:eastAsia="fr-FR"/>
        </w:rPr>
        <w:t xml:space="preserve">Iniciado a petición del Consejo de Desarrollo de la Comunidad de Aglomeración de Val de </w:t>
      </w:r>
      <w:proofErr w:type="spellStart"/>
      <w:r w:rsidRPr="003B2899">
        <w:rPr>
          <w:lang w:val="en-US" w:eastAsia="fr-FR"/>
        </w:rPr>
        <w:t>Fensch</w:t>
      </w:r>
      <w:proofErr w:type="spellEnd"/>
      <w:r w:rsidRPr="003B2899">
        <w:rPr>
          <w:lang w:val="en-US" w:eastAsia="fr-FR"/>
        </w:rPr>
        <w:t xml:space="preserve"> (CAVF), </w:t>
      </w:r>
      <w:proofErr w:type="spellStart"/>
      <w:r w:rsidRPr="003B2899">
        <w:rPr>
          <w:lang w:val="en-US" w:eastAsia="fr-FR"/>
        </w:rPr>
        <w:t>este</w:t>
      </w:r>
      <w:proofErr w:type="spellEnd"/>
      <w:r w:rsidRPr="003B2899">
        <w:rPr>
          <w:lang w:val="en-US" w:eastAsia="fr-FR"/>
        </w:rPr>
        <w:t xml:space="preserve"> </w:t>
      </w:r>
      <w:proofErr w:type="spellStart"/>
      <w:r w:rsidRPr="003B2899">
        <w:rPr>
          <w:lang w:val="en-US" w:eastAsia="fr-FR"/>
        </w:rPr>
        <w:t>proyecto</w:t>
      </w:r>
      <w:proofErr w:type="spellEnd"/>
      <w:r w:rsidRPr="003B2899">
        <w:rPr>
          <w:lang w:val="en-US" w:eastAsia="fr-FR"/>
        </w:rPr>
        <w:t xml:space="preserve"> </w:t>
      </w:r>
      <w:proofErr w:type="spellStart"/>
      <w:r w:rsidRPr="003B2899">
        <w:rPr>
          <w:lang w:val="en-US" w:eastAsia="fr-FR"/>
        </w:rPr>
        <w:t>fue</w:t>
      </w:r>
      <w:proofErr w:type="spellEnd"/>
      <w:r w:rsidRPr="003B2899">
        <w:rPr>
          <w:lang w:val="en-US" w:eastAsia="fr-FR"/>
        </w:rPr>
        <w:t xml:space="preserve"> </w:t>
      </w:r>
      <w:proofErr w:type="spellStart"/>
      <w:r w:rsidRPr="003B2899">
        <w:rPr>
          <w:lang w:val="en-US" w:eastAsia="fr-FR"/>
        </w:rPr>
        <w:t>diseñado</w:t>
      </w:r>
      <w:proofErr w:type="spellEnd"/>
      <w:r w:rsidRPr="003B2899">
        <w:rPr>
          <w:lang w:val="en-US" w:eastAsia="fr-FR"/>
        </w:rPr>
        <w:t xml:space="preserve"> </w:t>
      </w:r>
      <w:proofErr w:type="spellStart"/>
      <w:r w:rsidRPr="003B2899">
        <w:rPr>
          <w:lang w:val="en-US" w:eastAsia="fr-FR"/>
        </w:rPr>
        <w:t>por</w:t>
      </w:r>
      <w:proofErr w:type="spellEnd"/>
      <w:r w:rsidRPr="003B2899">
        <w:rPr>
          <w:lang w:val="en-US" w:eastAsia="fr-FR"/>
        </w:rPr>
        <w:t xml:space="preserve"> dos sociólogos afiliados a la Cátedra Internacional SIAGE y a la Red Internacional de Investigación sobre Envejecimiento, Ciudadanía e Integración Socioeconómica (REIACTIS). El primer experimento piloto de los Talleres de Diseño Ciudadano se llevó a cabo en el territorio de Val de </w:t>
      </w:r>
      <w:proofErr w:type="spellStart"/>
      <w:r w:rsidRPr="003B2899">
        <w:rPr>
          <w:lang w:val="en-US" w:eastAsia="fr-FR"/>
        </w:rPr>
        <w:t>Fensch</w:t>
      </w:r>
      <w:proofErr w:type="spellEnd"/>
      <w:r w:rsidRPr="003B2899">
        <w:rPr>
          <w:lang w:val="en-US" w:eastAsia="fr-FR"/>
        </w:rPr>
        <w:t xml:space="preserve"> entre 2018 y 2021, en una antigua zona siderúrgica de la región del Gran Este de Francia.</w:t>
      </w:r>
    </w:p>
    <w:p w14:paraId="0B85DFE3" w14:textId="77777777" w:rsidR="005879E6" w:rsidRDefault="005879E6" w:rsidP="005E1CF2">
      <w:pPr>
        <w:spacing w:before="0" w:after="0" w:line="360" w:lineRule="auto"/>
        <w:ind w:firstLine="709"/>
        <w:jc w:val="both"/>
        <w:rPr>
          <w:lang w:val="en-US" w:eastAsia="fr-FR"/>
        </w:rPr>
      </w:pPr>
      <w:r w:rsidRPr="003B2899">
        <w:rPr>
          <w:lang w:val="en-US" w:eastAsia="fr-FR"/>
        </w:rPr>
        <w:t>Esta iniciativa tuvo como objetivo establecer un diálogo participativo con personas mayores, investigadores, legisladores locales y actores clave, garantizando la representación de diversas experiencias de envejecimiento en los procesos locales de toma de decisiones. El proyecto buscó fortalecer la autonomía de los participantes y experimentar con un proceso de empoderamiento en el ámbito de las políticas de envejecimiento.</w:t>
      </w:r>
    </w:p>
    <w:p w14:paraId="2DD03C2A" w14:textId="77777777" w:rsidR="005E1CF2" w:rsidRPr="003B2899" w:rsidRDefault="005E1CF2" w:rsidP="005E1CF2">
      <w:pPr>
        <w:spacing w:before="0" w:after="0" w:line="360" w:lineRule="auto"/>
        <w:ind w:firstLine="709"/>
        <w:jc w:val="both"/>
        <w:rPr>
          <w:lang w:val="en-US" w:eastAsia="fr-FR"/>
        </w:rPr>
      </w:pPr>
    </w:p>
    <w:p w14:paraId="29EACCDA" w14:textId="509A6E4B" w:rsidR="005879E6" w:rsidRPr="005E1CF2" w:rsidRDefault="005879E6" w:rsidP="005E1CF2">
      <w:pPr>
        <w:pStyle w:val="Ttulo2"/>
        <w:spacing w:line="276" w:lineRule="auto"/>
        <w:jc w:val="center"/>
        <w:rPr>
          <w:sz w:val="28"/>
          <w:szCs w:val="28"/>
          <w:lang w:val="en-US"/>
        </w:rPr>
      </w:pPr>
      <w:bookmarkStart w:id="12" w:name="_Toc193356885"/>
      <w:r w:rsidRPr="005E1CF2">
        <w:rPr>
          <w:sz w:val="28"/>
          <w:szCs w:val="28"/>
          <w:lang w:val="en-US"/>
        </w:rPr>
        <w:lastRenderedPageBreak/>
        <w:t>3.2 Estructuración de procesos de empoderamiento: un desafío metodológico</w:t>
      </w:r>
      <w:bookmarkEnd w:id="12"/>
    </w:p>
    <w:p w14:paraId="2FC18251" w14:textId="77777777" w:rsidR="005879E6" w:rsidRPr="003B2899" w:rsidRDefault="005879E6" w:rsidP="007B71C0">
      <w:pPr>
        <w:spacing w:before="0" w:after="0" w:line="360" w:lineRule="auto"/>
        <w:ind w:firstLine="709"/>
        <w:jc w:val="both"/>
        <w:rPr>
          <w:lang w:val="en-US" w:eastAsia="fr-FR"/>
        </w:rPr>
      </w:pPr>
      <w:r w:rsidRPr="007B71C0">
        <w:rPr>
          <w:lang w:val="en-US" w:eastAsia="fr-FR"/>
        </w:rPr>
        <w:t>La metodología se estructura en torno a una serie de seis talleres, organizados en tres fases principales: diagnóstico participativo, desarrollo de soluciones y restitución pública.</w:t>
      </w:r>
    </w:p>
    <w:p w14:paraId="2DB11CF7" w14:textId="77777777" w:rsidR="005879E6" w:rsidRPr="003B2899" w:rsidRDefault="005879E6" w:rsidP="007B71C0">
      <w:pPr>
        <w:spacing w:before="0" w:after="0" w:line="360" w:lineRule="auto"/>
        <w:ind w:firstLine="709"/>
        <w:jc w:val="both"/>
        <w:rPr>
          <w:lang w:val="en-US" w:eastAsia="fr-FR"/>
        </w:rPr>
      </w:pPr>
      <w:r w:rsidRPr="003B2899">
        <w:rPr>
          <w:lang w:val="en-US" w:eastAsia="fr-FR"/>
        </w:rPr>
        <w:t xml:space="preserve">La primera fase, el diagnóstico participativo, comienza con un taller cuyo objetivo es identificar y categorizar los problemas clave a partir de las experiencias personales de los participantes. Este </w:t>
      </w:r>
      <w:proofErr w:type="spellStart"/>
      <w:r w:rsidRPr="003B2899">
        <w:rPr>
          <w:lang w:val="en-US" w:eastAsia="fr-FR"/>
        </w:rPr>
        <w:t>ejercicio</w:t>
      </w:r>
      <w:proofErr w:type="spellEnd"/>
      <w:r w:rsidRPr="003B2899">
        <w:rPr>
          <w:lang w:val="en-US" w:eastAsia="fr-FR"/>
        </w:rPr>
        <w:t xml:space="preserve">, </w:t>
      </w:r>
      <w:proofErr w:type="spellStart"/>
      <w:r w:rsidRPr="003B2899">
        <w:rPr>
          <w:lang w:val="en-US" w:eastAsia="fr-FR"/>
        </w:rPr>
        <w:t>basado</w:t>
      </w:r>
      <w:proofErr w:type="spellEnd"/>
      <w:r w:rsidRPr="003B2899">
        <w:rPr>
          <w:lang w:val="en-US" w:eastAsia="fr-FR"/>
        </w:rPr>
        <w:t xml:space="preserve"> </w:t>
      </w:r>
      <w:proofErr w:type="spellStart"/>
      <w:r w:rsidRPr="003B2899">
        <w:rPr>
          <w:lang w:val="en-US" w:eastAsia="fr-FR"/>
        </w:rPr>
        <w:t>en</w:t>
      </w:r>
      <w:proofErr w:type="spellEnd"/>
      <w:r w:rsidRPr="003B2899">
        <w:rPr>
          <w:lang w:val="en-US" w:eastAsia="fr-FR"/>
        </w:rPr>
        <w:t xml:space="preserve"> </w:t>
      </w:r>
      <w:proofErr w:type="spellStart"/>
      <w:r w:rsidRPr="003B2899">
        <w:rPr>
          <w:lang w:val="en-US" w:eastAsia="fr-FR"/>
        </w:rPr>
        <w:t>el</w:t>
      </w:r>
      <w:proofErr w:type="spellEnd"/>
      <w:r w:rsidRPr="003B2899">
        <w:rPr>
          <w:lang w:val="en-US" w:eastAsia="fr-FR"/>
        </w:rPr>
        <w:t xml:space="preserve"> </w:t>
      </w:r>
      <w:proofErr w:type="spellStart"/>
      <w:r w:rsidRPr="003B2899">
        <w:rPr>
          <w:lang w:val="en-US" w:eastAsia="fr-FR"/>
        </w:rPr>
        <w:t>método</w:t>
      </w:r>
      <w:proofErr w:type="spellEnd"/>
      <w:r w:rsidRPr="003B2899">
        <w:rPr>
          <w:lang w:val="en-US" w:eastAsia="fr-FR"/>
        </w:rPr>
        <w:t xml:space="preserve"> </w:t>
      </w:r>
      <w:proofErr w:type="spellStart"/>
      <w:r w:rsidRPr="003B2899">
        <w:rPr>
          <w:lang w:val="en-US" w:eastAsia="fr-FR"/>
        </w:rPr>
        <w:t>Metaplan</w:t>
      </w:r>
      <w:proofErr w:type="spellEnd"/>
      <w:r w:rsidRPr="003B2899">
        <w:rPr>
          <w:lang w:val="en-US" w:eastAsia="fr-FR"/>
        </w:rPr>
        <w:t xml:space="preserve"> , </w:t>
      </w:r>
      <w:proofErr w:type="spellStart"/>
      <w:r w:rsidRPr="003B2899">
        <w:rPr>
          <w:lang w:val="en-US" w:eastAsia="fr-FR"/>
        </w:rPr>
        <w:t>ayuda</w:t>
      </w:r>
      <w:proofErr w:type="spellEnd"/>
      <w:r w:rsidRPr="003B2899">
        <w:rPr>
          <w:lang w:val="en-US" w:eastAsia="fr-FR"/>
        </w:rPr>
        <w:t xml:space="preserve"> a </w:t>
      </w:r>
      <w:proofErr w:type="spellStart"/>
      <w:r w:rsidRPr="003B2899">
        <w:rPr>
          <w:lang w:val="en-US" w:eastAsia="fr-FR"/>
        </w:rPr>
        <w:t>identificar</w:t>
      </w:r>
      <w:proofErr w:type="spellEnd"/>
      <w:r w:rsidRPr="003B2899">
        <w:rPr>
          <w:lang w:val="en-US" w:eastAsia="fr-FR"/>
        </w:rPr>
        <w:t xml:space="preserve"> las preocupaciones fundamentales. Posteriormente, un grupo de discusión trabaja para priorizar y profundizar en las necesidades identificadas, fomentando un diagnóstico preciso y compartido colectivamente.</w:t>
      </w:r>
    </w:p>
    <w:p w14:paraId="7EB10AC4" w14:textId="77777777" w:rsidR="005879E6" w:rsidRPr="003B2899" w:rsidRDefault="005879E6" w:rsidP="007B71C0">
      <w:pPr>
        <w:spacing w:before="0" w:after="0" w:line="360" w:lineRule="auto"/>
        <w:ind w:firstLine="709"/>
        <w:jc w:val="both"/>
        <w:rPr>
          <w:lang w:val="en-US" w:eastAsia="fr-FR"/>
        </w:rPr>
      </w:pPr>
      <w:r w:rsidRPr="003B2899">
        <w:rPr>
          <w:lang w:val="en-US" w:eastAsia="fr-FR"/>
        </w:rPr>
        <w:t>La segunda fase se centra en el desarrollo de soluciones. Comienza con una sesión de generación de ideas, donde se anima a los participantes a proponer posibles soluciones en un ambiente abierto y creativo. Estas propuestas se perfeccionan incorporando la retroalimentación de otros territorios que enfrentan desafíos similares relacionados con el envejecimiento. Este paso da como resultado la formalización de las ideas en fichas de herramientas estructuradas que detallan el diagnóstico, los objetivos, los recursos necesarios, los posibles socios e incluso los métodos de evaluación posterior a la acción. Las fichas de herramientas se clasifican por tema y se compilan en un "Memorando Ciudadano" para facilitar su adopción por parte de los responsables políticos.</w:t>
      </w:r>
    </w:p>
    <w:p w14:paraId="68F6F5A4" w14:textId="77777777" w:rsidR="005879E6" w:rsidRPr="003B2899" w:rsidRDefault="005879E6" w:rsidP="007B71C0">
      <w:pPr>
        <w:spacing w:before="0" w:after="0" w:line="360" w:lineRule="auto"/>
        <w:ind w:firstLine="709"/>
        <w:jc w:val="both"/>
        <w:rPr>
          <w:lang w:val="en-US" w:eastAsia="fr-FR"/>
        </w:rPr>
      </w:pPr>
      <w:r w:rsidRPr="003B2899">
        <w:rPr>
          <w:lang w:val="en-US" w:eastAsia="fr-FR"/>
        </w:rPr>
        <w:t>Finalmente, la última fase se dedica a la restitución pública. Se seleccionan representantes de cada grupo para presentar las hojas de herramientas. Todos los participantes reciben capacitación en oratoria para defender mejor sus propuestas y participan en un ensayo previo a la reunión final con los funcionarios electos. El proceso culmina con una presentación oficial de los hallazgos a los responsables políticos y sus equipos, con el objetivo de iniciar el diálogo y fomentar la implementación práctica de las soluciones propuestas.</w:t>
      </w:r>
    </w:p>
    <w:p w14:paraId="653A78E8" w14:textId="5E5918E4" w:rsidR="005879E6" w:rsidRPr="007B71C0" w:rsidRDefault="005879E6" w:rsidP="007B71C0">
      <w:pPr>
        <w:pStyle w:val="Ttulo2"/>
        <w:spacing w:line="276" w:lineRule="auto"/>
        <w:jc w:val="center"/>
        <w:rPr>
          <w:sz w:val="28"/>
          <w:szCs w:val="28"/>
          <w:lang w:val="en-US"/>
        </w:rPr>
      </w:pPr>
      <w:bookmarkStart w:id="13" w:name="_Toc193356886"/>
      <w:r w:rsidRPr="007B71C0">
        <w:rPr>
          <w:sz w:val="28"/>
          <w:szCs w:val="28"/>
          <w:lang w:val="en-US"/>
        </w:rPr>
        <w:t>3.3 Objetivos, impacto y perspectivas futuras</w:t>
      </w:r>
      <w:bookmarkEnd w:id="13"/>
    </w:p>
    <w:p w14:paraId="0F3D3E71" w14:textId="77777777" w:rsidR="005879E6" w:rsidRPr="003B2899" w:rsidRDefault="005879E6" w:rsidP="007B71C0">
      <w:pPr>
        <w:spacing w:before="0" w:after="0" w:line="360" w:lineRule="auto"/>
        <w:ind w:firstLine="709"/>
        <w:jc w:val="both"/>
        <w:rPr>
          <w:lang w:val="en-US" w:eastAsia="fr-FR"/>
        </w:rPr>
      </w:pPr>
      <w:r w:rsidRPr="003B2899">
        <w:rPr>
          <w:lang w:val="en-US" w:eastAsia="fr-FR"/>
        </w:rPr>
        <w:t>Este enfoque estructurado combina la expresión individual con la deliberación colectiva para generar soluciones prácticas que puedan integrarse en las políticas locales. Además, fomenta la inclusión social y la innovación al redefinir las relaciones entre las personas mayores, su entorno y los responsables de la toma de decisiones públicas.</w:t>
      </w:r>
    </w:p>
    <w:p w14:paraId="3B912694" w14:textId="77777777" w:rsidR="005879E6" w:rsidRPr="003B2899" w:rsidRDefault="005879E6" w:rsidP="007B71C0">
      <w:pPr>
        <w:spacing w:before="0" w:after="0" w:line="360" w:lineRule="auto"/>
        <w:ind w:firstLine="709"/>
        <w:jc w:val="both"/>
        <w:rPr>
          <w:lang w:val="en-US" w:eastAsia="fr-FR"/>
        </w:rPr>
      </w:pPr>
      <w:r w:rsidRPr="003B2899">
        <w:rPr>
          <w:lang w:val="en-US" w:eastAsia="fr-FR"/>
        </w:rPr>
        <w:lastRenderedPageBreak/>
        <w:t>A través de esta metodología, el Taller de Diseño Ciudadano trasciende la mera consulta y promueve el empoderamiento genuino de las personas mayores mediante el desarrollo de recomendaciones y soluciones concretas. Esta herramienta, reflexiva y práctica a la vez, busca fomentar la participación activa en las políticas locales de envejecimiento, a la vez que sirve como mecanismo para la innovación social y democrática. Al redefinir la inclusión de las personas mayores en la vida pública, contribuye a la coherencia de las políticas locales de envejecimiento con las diversas necesidades expresadas por las personas mayores.</w:t>
      </w:r>
    </w:p>
    <w:p w14:paraId="4A81D814" w14:textId="77777777" w:rsidR="005879E6" w:rsidRPr="003B2899" w:rsidRDefault="005879E6" w:rsidP="007B71C0">
      <w:pPr>
        <w:spacing w:before="0" w:after="0" w:line="360" w:lineRule="auto"/>
        <w:ind w:firstLine="709"/>
        <w:jc w:val="both"/>
        <w:rPr>
          <w:lang w:val="en-US" w:eastAsia="fr-FR"/>
        </w:rPr>
      </w:pPr>
      <w:r w:rsidRPr="003B2899">
        <w:rPr>
          <w:lang w:val="en-US" w:eastAsia="fr-FR"/>
        </w:rPr>
        <w:t>Tras la experiencia piloto, siete municipios y territorios franceses se unieron al proyecto, enriqueciendo aún más la comprensión de las dinámicas participativas dentro de los diferentes grupos.</w:t>
      </w:r>
    </w:p>
    <w:p w14:paraId="724B48B6" w14:textId="77777777" w:rsidR="005879E6" w:rsidRDefault="005879E6" w:rsidP="007B71C0">
      <w:pPr>
        <w:spacing w:before="0" w:after="0" w:line="360" w:lineRule="auto"/>
        <w:ind w:firstLine="709"/>
        <w:jc w:val="both"/>
        <w:rPr>
          <w:lang w:val="en-US" w:eastAsia="fr-FR"/>
        </w:rPr>
      </w:pPr>
      <w:r w:rsidRPr="003B2899">
        <w:rPr>
          <w:lang w:val="en-US" w:eastAsia="fr-FR"/>
        </w:rPr>
        <w:t>Entre estos siete territorios, se prestará especial atención a la ciudad de Metz, sede del equipo de investigación. En 2022, Metz recibió la certificación "Platino" del Programa de Ciudades Amigables con las Personas Mayores de la OMS. Los talleres realizados en Metz se centraron en mejorar el acceso a la atención médica y los servicios de salud para las personas mayores, con la participación de 23 participantes voluntarios. Se formó un primer grupo que se reunió en el Ayuntamiento de Metz. Para garantizar una mayor inclusión, se creó un segundo grupo en una residencia de ancianos, incorporando a personas que a menudo se pasan por alto en los procesos de consulta. Tras nueve talleres, se elaboraron 19 fichas de herramientas, clasificadas en cuatro temas principales: Salud y Cuidados; Autonomía y Prevención; Combatir el Edadismo y Envejecer Bien; y Comunicación e Inclusión Digital.</w:t>
      </w:r>
    </w:p>
    <w:p w14:paraId="0E20FB60" w14:textId="77777777" w:rsidR="007B71C0" w:rsidRPr="003B2899" w:rsidRDefault="007B71C0" w:rsidP="007B71C0">
      <w:pPr>
        <w:spacing w:before="0" w:after="0" w:line="360" w:lineRule="auto"/>
        <w:ind w:firstLine="709"/>
        <w:jc w:val="both"/>
        <w:rPr>
          <w:lang w:val="en-US" w:eastAsia="fr-FR"/>
        </w:rPr>
      </w:pPr>
    </w:p>
    <w:p w14:paraId="4D3158F7" w14:textId="050C6C02" w:rsidR="005879E6" w:rsidRPr="007B71C0" w:rsidRDefault="005879E6" w:rsidP="007B71C0">
      <w:pPr>
        <w:pStyle w:val="Ttulo2"/>
        <w:spacing w:line="276" w:lineRule="auto"/>
        <w:jc w:val="center"/>
        <w:rPr>
          <w:sz w:val="28"/>
          <w:szCs w:val="28"/>
          <w:lang w:val="en-US"/>
        </w:rPr>
      </w:pPr>
      <w:bookmarkStart w:id="14" w:name="_Toc193356887"/>
      <w:r w:rsidRPr="007B71C0">
        <w:rPr>
          <w:sz w:val="28"/>
          <w:szCs w:val="28"/>
          <w:lang w:val="en-US"/>
        </w:rPr>
        <w:t>3.4 Desafíos metodológicos, empíricos y teóricos</w:t>
      </w:r>
      <w:bookmarkEnd w:id="14"/>
    </w:p>
    <w:p w14:paraId="792ED677" w14:textId="77777777" w:rsidR="005879E6" w:rsidRPr="003B2899" w:rsidRDefault="005879E6" w:rsidP="007B71C0">
      <w:pPr>
        <w:spacing w:before="0" w:after="0" w:line="360" w:lineRule="auto"/>
        <w:ind w:firstLine="709"/>
        <w:jc w:val="both"/>
        <w:rPr>
          <w:lang w:val="en-US" w:eastAsia="fr-FR"/>
        </w:rPr>
      </w:pPr>
      <w:r w:rsidRPr="003B2899">
        <w:rPr>
          <w:lang w:val="en-US" w:eastAsia="fr-FR"/>
        </w:rPr>
        <w:t>Los desafíos metodológicos, empíricos y teóricos que enfrenta este enfoque giran en torno a varias cuestiones clave.</w:t>
      </w:r>
    </w:p>
    <w:p w14:paraId="14E69229" w14:textId="627DF8E5" w:rsidR="005879E6" w:rsidRPr="003B2899" w:rsidRDefault="005879E6" w:rsidP="007B71C0">
      <w:pPr>
        <w:spacing w:before="0" w:after="0" w:line="360" w:lineRule="auto"/>
        <w:ind w:firstLine="709"/>
        <w:jc w:val="both"/>
        <w:rPr>
          <w:lang w:val="en-US" w:eastAsia="fr-FR"/>
        </w:rPr>
      </w:pPr>
      <w:r w:rsidRPr="003B2899">
        <w:rPr>
          <w:lang w:val="en-US" w:eastAsia="fr-FR"/>
        </w:rPr>
        <w:t xml:space="preserve">Uno de los principales retos es garantizar la diversidad de participantes y territorios, incluyendo a los grupos marginados. Para lograr una mayor representatividad, se implementan estrategias de reclutamiento específicas, involucrando a diversos actores y utilizando técnicas de geografía social, como se </w:t>
      </w:r>
      <w:proofErr w:type="spellStart"/>
      <w:r w:rsidRPr="003B2899">
        <w:rPr>
          <w:lang w:val="en-US" w:eastAsia="fr-FR"/>
        </w:rPr>
        <w:t>experimentó</w:t>
      </w:r>
      <w:proofErr w:type="spellEnd"/>
      <w:r w:rsidRPr="003B2899">
        <w:rPr>
          <w:lang w:val="en-US" w:eastAsia="fr-FR"/>
        </w:rPr>
        <w:t xml:space="preserve"> </w:t>
      </w:r>
      <w:proofErr w:type="spellStart"/>
      <w:r w:rsidRPr="003B2899">
        <w:rPr>
          <w:lang w:val="en-US" w:eastAsia="fr-FR"/>
        </w:rPr>
        <w:t>en</w:t>
      </w:r>
      <w:proofErr w:type="spellEnd"/>
      <w:r w:rsidRPr="003B2899">
        <w:rPr>
          <w:lang w:val="en-US" w:eastAsia="fr-FR"/>
        </w:rPr>
        <w:t xml:space="preserve"> </w:t>
      </w:r>
      <w:proofErr w:type="spellStart"/>
      <w:r w:rsidRPr="003B2899">
        <w:rPr>
          <w:lang w:val="en-US" w:eastAsia="fr-FR"/>
        </w:rPr>
        <w:t>el</w:t>
      </w:r>
      <w:proofErr w:type="spellEnd"/>
      <w:r w:rsidRPr="003B2899">
        <w:rPr>
          <w:lang w:val="en-US" w:eastAsia="fr-FR"/>
        </w:rPr>
        <w:t xml:space="preserve"> Val </w:t>
      </w:r>
      <w:r w:rsidR="008A7C6A" w:rsidRPr="003B2899">
        <w:rPr>
          <w:lang w:val="en-US" w:eastAsia="fr-FR"/>
        </w:rPr>
        <w:t xml:space="preserve">de </w:t>
      </w:r>
      <w:proofErr w:type="spellStart"/>
      <w:r w:rsidRPr="003B2899">
        <w:rPr>
          <w:lang w:val="en-US" w:eastAsia="fr-FR"/>
        </w:rPr>
        <w:t>Fensch</w:t>
      </w:r>
      <w:proofErr w:type="spellEnd"/>
      <w:r w:rsidRPr="003B2899">
        <w:rPr>
          <w:lang w:val="en-US" w:eastAsia="fr-FR"/>
        </w:rPr>
        <w:t xml:space="preserve"> . La composición de los grupos de participantes está diseñada para reflejar la diversidad de estatus socioeconómicos y condiciones de vida, integrando tanto a residentes de viviendas privadas como a residentes de residencias para personas mayores.</w:t>
      </w:r>
    </w:p>
    <w:p w14:paraId="44D02105" w14:textId="2E15B4DA" w:rsidR="005879E6" w:rsidRPr="003B2899" w:rsidRDefault="005879E6" w:rsidP="007B71C0">
      <w:pPr>
        <w:spacing w:before="0" w:after="0" w:line="360" w:lineRule="auto"/>
        <w:ind w:firstLine="709"/>
        <w:jc w:val="both"/>
        <w:rPr>
          <w:lang w:val="en-US" w:eastAsia="fr-FR"/>
        </w:rPr>
      </w:pPr>
      <w:r w:rsidRPr="003B2899">
        <w:rPr>
          <w:lang w:val="en-US" w:eastAsia="fr-FR"/>
        </w:rPr>
        <w:lastRenderedPageBreak/>
        <w:t>En este sentido, el equipo de investigación analizó la sociología de los miembros de ambos grupos en Metz.</w:t>
      </w:r>
    </w:p>
    <w:p w14:paraId="5B21BE17" w14:textId="5581D032" w:rsidR="008A7C6A" w:rsidRPr="003B2899" w:rsidRDefault="008A7C6A" w:rsidP="003B2899">
      <w:pPr>
        <w:spacing w:before="100" w:beforeAutospacing="1" w:after="100" w:afterAutospacing="1" w:line="276" w:lineRule="auto"/>
        <w:jc w:val="center"/>
        <w:rPr>
          <w:lang w:val="en-US" w:eastAsia="fr-FR"/>
        </w:rPr>
      </w:pPr>
      <w:r w:rsidRPr="003B2899">
        <w:rPr>
          <w:b/>
          <w:bCs/>
          <w:lang w:val="en-US" w:eastAsia="fr-FR"/>
        </w:rPr>
        <w:t xml:space="preserve">Figura 1. </w:t>
      </w:r>
      <w:r w:rsidRPr="003B2899">
        <w:rPr>
          <w:lang w:val="en-US" w:eastAsia="fr-FR"/>
        </w:rPr>
        <w:t>Composición de los participantes del grupo del Ayuntamiento según su categoría social</w:t>
      </w:r>
    </w:p>
    <w:p w14:paraId="514F2F1E" w14:textId="0B11E248" w:rsidR="00D41FF8" w:rsidRPr="003B2899" w:rsidRDefault="00D41FF8" w:rsidP="00996E86">
      <w:pPr>
        <w:tabs>
          <w:tab w:val="left" w:pos="1780"/>
        </w:tabs>
        <w:spacing w:before="100" w:beforeAutospacing="1" w:after="100" w:afterAutospacing="1" w:line="276" w:lineRule="auto"/>
        <w:jc w:val="center"/>
        <w:rPr>
          <w:lang w:eastAsia="fr-FR"/>
        </w:rPr>
      </w:pPr>
      <w:r w:rsidRPr="003B2899">
        <w:rPr>
          <w:noProof/>
        </w:rPr>
        <w:drawing>
          <wp:inline distT="0" distB="0" distL="0" distR="0" wp14:anchorId="243A4E63" wp14:editId="6406A669">
            <wp:extent cx="4556760" cy="2282190"/>
            <wp:effectExtent l="0" t="0" r="15240" b="3810"/>
            <wp:docPr id="2" name="Graphique 2">
              <a:extLst xmlns:a="http://schemas.openxmlformats.org/drawingml/2006/main">
                <a:ext uri="{FF2B5EF4-FFF2-40B4-BE49-F238E27FC236}">
                  <a16:creationId xmlns:a16="http://schemas.microsoft.com/office/drawing/2014/main" id="{51A02AD0-3A00-D834-C754-663EA115FF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500907D" w14:textId="77777777" w:rsidR="005879E6" w:rsidRPr="003B2899" w:rsidRDefault="005879E6" w:rsidP="004404A8">
      <w:pPr>
        <w:spacing w:before="100" w:beforeAutospacing="1" w:after="100" w:afterAutospacing="1" w:line="276" w:lineRule="auto"/>
        <w:jc w:val="both"/>
        <w:rPr>
          <w:lang w:val="en-US" w:eastAsia="fr-FR"/>
        </w:rPr>
      </w:pPr>
      <w:r w:rsidRPr="003B2899">
        <w:rPr>
          <w:lang w:val="en-US" w:eastAsia="fr-FR"/>
        </w:rPr>
        <w:t>En el primer grupo, la mayoría de los miembros pertenecen a las “profesiones ejecutivas e intelectuales superiores” (50%) y a las “profesiones intermedias” (25%).</w:t>
      </w:r>
    </w:p>
    <w:p w14:paraId="2F8DF1B3" w14:textId="11C7DCC0" w:rsidR="005879E6" w:rsidRDefault="005879E6" w:rsidP="004404A8">
      <w:pPr>
        <w:spacing w:before="100" w:beforeAutospacing="1" w:after="100" w:afterAutospacing="1" w:line="276" w:lineRule="auto"/>
        <w:jc w:val="both"/>
        <w:rPr>
          <w:lang w:val="en-US" w:eastAsia="fr-FR"/>
        </w:rPr>
      </w:pPr>
      <w:r w:rsidRPr="003B2899">
        <w:rPr>
          <w:lang w:val="en-US" w:eastAsia="fr-FR"/>
        </w:rPr>
        <w:t>En el segundo grupo, compuesto por residentes de residencias de mayores, el perfil es significativamente más modesto.</w:t>
      </w:r>
    </w:p>
    <w:p w14:paraId="282730DB" w14:textId="144C7DC6" w:rsidR="008A7C6A" w:rsidRPr="003B2899" w:rsidRDefault="008A7C6A" w:rsidP="003B2899">
      <w:pPr>
        <w:spacing w:before="100" w:beforeAutospacing="1" w:after="100" w:afterAutospacing="1" w:line="276" w:lineRule="auto"/>
        <w:jc w:val="center"/>
        <w:rPr>
          <w:lang w:val="en-US" w:eastAsia="fr-FR"/>
        </w:rPr>
      </w:pPr>
      <w:r w:rsidRPr="003B2899">
        <w:rPr>
          <w:b/>
          <w:bCs/>
          <w:lang w:val="en-US" w:eastAsia="fr-FR"/>
        </w:rPr>
        <w:t xml:space="preserve">Figura 2. </w:t>
      </w:r>
      <w:r w:rsidRPr="003B2899">
        <w:rPr>
          <w:lang w:val="en-US" w:eastAsia="fr-FR"/>
        </w:rPr>
        <w:t>Composición de los participantes del grupo Residencia según su categoría social</w:t>
      </w:r>
    </w:p>
    <w:p w14:paraId="0F576A4F" w14:textId="5ACAC254" w:rsidR="00D41FF8" w:rsidRPr="003B2899" w:rsidRDefault="00D41FF8" w:rsidP="00621B5D">
      <w:pPr>
        <w:spacing w:before="100" w:beforeAutospacing="1" w:after="100" w:afterAutospacing="1" w:line="276" w:lineRule="auto"/>
        <w:jc w:val="center"/>
        <w:rPr>
          <w:lang w:eastAsia="fr-FR"/>
        </w:rPr>
      </w:pPr>
      <w:r w:rsidRPr="003B2899">
        <w:rPr>
          <w:noProof/>
        </w:rPr>
        <w:drawing>
          <wp:inline distT="0" distB="0" distL="0" distR="0" wp14:anchorId="5AF0CF53" wp14:editId="634E82E9">
            <wp:extent cx="5114441" cy="2274699"/>
            <wp:effectExtent l="0" t="0" r="10160" b="11430"/>
            <wp:docPr id="1" name="Graphique 1">
              <a:extLst xmlns:a="http://schemas.openxmlformats.org/drawingml/2006/main">
                <a:ext uri="{FF2B5EF4-FFF2-40B4-BE49-F238E27FC236}">
                  <a16:creationId xmlns:a16="http://schemas.microsoft.com/office/drawing/2014/main" id="{59A90383-274B-4183-9056-21A41F8608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C7E8574" w14:textId="77777777" w:rsidR="005879E6" w:rsidRPr="003B2899" w:rsidRDefault="005879E6" w:rsidP="007B71C0">
      <w:pPr>
        <w:spacing w:before="0" w:after="0" w:line="360" w:lineRule="auto"/>
        <w:ind w:firstLine="709"/>
        <w:jc w:val="both"/>
        <w:rPr>
          <w:lang w:val="en-US" w:eastAsia="fr-FR"/>
        </w:rPr>
      </w:pPr>
      <w:r w:rsidRPr="003B2899">
        <w:rPr>
          <w:lang w:val="en-US" w:eastAsia="fr-FR"/>
        </w:rPr>
        <w:t>Aproximadamente el 60% de los participantes son personas empleadas (40%) o sin actividad profesional.</w:t>
      </w:r>
    </w:p>
    <w:p w14:paraId="7CD28CFA" w14:textId="77777777" w:rsidR="005879E6" w:rsidRPr="003B2899" w:rsidRDefault="005879E6" w:rsidP="007B71C0">
      <w:pPr>
        <w:spacing w:before="0" w:after="0" w:line="360" w:lineRule="auto"/>
        <w:ind w:firstLine="709"/>
        <w:jc w:val="both"/>
        <w:rPr>
          <w:lang w:val="en-US" w:eastAsia="fr-FR"/>
        </w:rPr>
      </w:pPr>
      <w:r w:rsidRPr="003B2899">
        <w:rPr>
          <w:lang w:val="en-US" w:eastAsia="fr-FR"/>
        </w:rPr>
        <w:lastRenderedPageBreak/>
        <w:t>Además, se observan diferencias de género: el primer grupo en el ayuntamiento está compuesto por más de un 75% de mujeres, frente al 60% en la residencia.</w:t>
      </w:r>
    </w:p>
    <w:p w14:paraId="34774ADB" w14:textId="77777777" w:rsidR="005879E6" w:rsidRDefault="005879E6" w:rsidP="007B71C0">
      <w:pPr>
        <w:spacing w:before="0" w:after="0" w:line="360" w:lineRule="auto"/>
        <w:ind w:firstLine="709"/>
        <w:jc w:val="both"/>
        <w:rPr>
          <w:lang w:val="en-US" w:eastAsia="fr-FR"/>
        </w:rPr>
      </w:pPr>
      <w:r w:rsidRPr="003B2899">
        <w:rPr>
          <w:lang w:val="en-US" w:eastAsia="fr-FR"/>
        </w:rPr>
        <w:t>El segundo factor distintivo entre los grupos, que interesó al equipo, se refiere a la inclusión de las personas mayores en actividades relacionadas con la participación social y cívica. Resultó que el primer grupo incluía a personas significativamente más integradas socialmente que participaban formalmente en asociaciones, mientras que el segundo grupo se mostraba más distante de dicha participación.</w:t>
      </w:r>
    </w:p>
    <w:p w14:paraId="016D9BC9" w14:textId="77777777" w:rsidR="007B71C0" w:rsidRDefault="007B71C0" w:rsidP="007B71C0">
      <w:pPr>
        <w:spacing w:before="0" w:after="0" w:line="360" w:lineRule="auto"/>
        <w:ind w:firstLine="709"/>
        <w:jc w:val="both"/>
        <w:rPr>
          <w:lang w:val="en-US" w:eastAsia="fr-FR"/>
        </w:rPr>
      </w:pPr>
    </w:p>
    <w:p w14:paraId="74355837" w14:textId="3047172A" w:rsidR="005879E6" w:rsidRPr="003B2899" w:rsidRDefault="008A7C6A" w:rsidP="003B2899">
      <w:pPr>
        <w:spacing w:before="100" w:beforeAutospacing="1" w:after="100" w:afterAutospacing="1" w:line="276" w:lineRule="auto"/>
        <w:jc w:val="center"/>
        <w:rPr>
          <w:lang w:val="en-US" w:eastAsia="fr-FR"/>
        </w:rPr>
      </w:pPr>
      <w:r w:rsidRPr="003B2899">
        <w:rPr>
          <w:b/>
          <w:bCs/>
          <w:lang w:val="en-US" w:eastAsia="fr-FR"/>
        </w:rPr>
        <w:t xml:space="preserve">Figura 3. </w:t>
      </w:r>
      <w:r w:rsidRPr="003B2899">
        <w:rPr>
          <w:lang w:val="en-US" w:eastAsia="fr-FR"/>
        </w:rPr>
        <w:t>Composición de los participantes del grupo del Ayuntamiento según su participación en trabajo voluntario (número de horas)</w:t>
      </w:r>
    </w:p>
    <w:p w14:paraId="57EEE982" w14:textId="26CFA764" w:rsidR="00353880" w:rsidRPr="003B2899" w:rsidRDefault="00353880" w:rsidP="00621B5D">
      <w:pPr>
        <w:spacing w:before="100" w:beforeAutospacing="1" w:after="100" w:afterAutospacing="1" w:line="276" w:lineRule="auto"/>
        <w:jc w:val="center"/>
        <w:rPr>
          <w:lang w:eastAsia="fr-FR"/>
        </w:rPr>
      </w:pPr>
      <w:r w:rsidRPr="003B2899">
        <w:rPr>
          <w:noProof/>
        </w:rPr>
        <w:drawing>
          <wp:inline distT="0" distB="0" distL="0" distR="0" wp14:anchorId="53140775" wp14:editId="426EF73C">
            <wp:extent cx="5008374" cy="2283739"/>
            <wp:effectExtent l="0" t="0" r="1905" b="2540"/>
            <wp:docPr id="4" name="Graphique 4">
              <a:extLst xmlns:a="http://schemas.openxmlformats.org/drawingml/2006/main">
                <a:ext uri="{FF2B5EF4-FFF2-40B4-BE49-F238E27FC236}">
                  <a16:creationId xmlns:a16="http://schemas.microsoft.com/office/drawing/2014/main" id="{7055279D-C162-F7B8-CD1F-849A7258E9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E88E264" w14:textId="51E23588" w:rsidR="00353880" w:rsidRDefault="00965203" w:rsidP="004404A8">
      <w:pPr>
        <w:spacing w:before="100" w:beforeAutospacing="1" w:after="100" w:afterAutospacing="1" w:line="276" w:lineRule="auto"/>
        <w:jc w:val="both"/>
        <w:rPr>
          <w:lang w:val="en-US"/>
        </w:rPr>
      </w:pPr>
      <w:r w:rsidRPr="003B2899">
        <w:rPr>
          <w:lang w:val="en-US"/>
        </w:rPr>
        <w:t>En el primer grupo, la mayoría reportó una alta participación, desde unas pocas horas semanales (19%) hasta diez horas o más (37%). Solo el 13% no tenía actividad asociativa.</w:t>
      </w:r>
    </w:p>
    <w:p w14:paraId="7A7FCF9C" w14:textId="77777777" w:rsidR="003B2899" w:rsidRPr="003B2899" w:rsidRDefault="003B2899" w:rsidP="004404A8">
      <w:pPr>
        <w:spacing w:before="100" w:beforeAutospacing="1" w:after="100" w:afterAutospacing="1" w:line="276" w:lineRule="auto"/>
        <w:jc w:val="both"/>
        <w:rPr>
          <w:lang w:val="en-US"/>
        </w:rPr>
      </w:pPr>
    </w:p>
    <w:p w14:paraId="7E8C192A" w14:textId="301462F6" w:rsidR="00353880" w:rsidRPr="003B2899" w:rsidRDefault="008A7C6A" w:rsidP="00621B5D">
      <w:pPr>
        <w:spacing w:before="100" w:beforeAutospacing="1" w:after="100" w:afterAutospacing="1" w:line="276" w:lineRule="auto"/>
        <w:jc w:val="center"/>
        <w:rPr>
          <w:lang w:eastAsia="fr-FR"/>
        </w:rPr>
      </w:pPr>
      <w:r w:rsidRPr="003B2899">
        <w:rPr>
          <w:b/>
          <w:bCs/>
          <w:lang w:val="en-US" w:eastAsia="fr-FR"/>
        </w:rPr>
        <w:lastRenderedPageBreak/>
        <w:t xml:space="preserve">Figura 4. </w:t>
      </w:r>
      <w:r w:rsidRPr="003B2899">
        <w:rPr>
          <w:lang w:val="en-US" w:eastAsia="fr-FR"/>
        </w:rPr>
        <w:t>Composición de los participantes del grupo Residencia según su participación en trabajo voluntario (número de horas)</w:t>
      </w:r>
      <w:r w:rsidR="00353880" w:rsidRPr="003B2899">
        <w:rPr>
          <w:noProof/>
        </w:rPr>
        <w:drawing>
          <wp:inline distT="0" distB="0" distL="0" distR="0" wp14:anchorId="068A9A75" wp14:editId="0E541EB3">
            <wp:extent cx="5122513" cy="2266626"/>
            <wp:effectExtent l="0" t="0" r="2540" b="635"/>
            <wp:docPr id="5" name="Graphique 5">
              <a:extLst xmlns:a="http://schemas.openxmlformats.org/drawingml/2006/main">
                <a:ext uri="{FF2B5EF4-FFF2-40B4-BE49-F238E27FC236}">
                  <a16:creationId xmlns:a16="http://schemas.microsoft.com/office/drawing/2014/main" id="{6371D495-CDC5-41ED-8362-0438DE193F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70B75F7" w14:textId="749F9C1D" w:rsidR="00965203" w:rsidRPr="003B2899" w:rsidRDefault="00965203" w:rsidP="00755EC4">
      <w:pPr>
        <w:spacing w:before="0" w:after="0" w:line="360" w:lineRule="auto"/>
        <w:ind w:firstLine="709"/>
        <w:jc w:val="both"/>
        <w:rPr>
          <w:lang w:val="en-US" w:eastAsia="fr-FR"/>
        </w:rPr>
      </w:pPr>
      <w:r w:rsidRPr="003B2899">
        <w:rPr>
          <w:lang w:val="en-US" w:eastAsia="fr-FR"/>
        </w:rPr>
        <w:t>En cambio, dentro del segundo grupo, la ausencia de participación asociativa representó el modelo dominante (60%). Solo el 20% de los participantes se involucraba activamente (10 horas o más por semana) en actividades asociativas. La mayoría no tenía experiencia en participar en órganos consultivos. La integración de lo que Pierre Rosanvallon describe como los "ciudadanos invisibles" de la República constituye uno de los retos de estos talleres, que buscan mantener la vigilancia sobre el perfil sociológico de los participantes.</w:t>
      </w:r>
    </w:p>
    <w:p w14:paraId="2DB93164" w14:textId="10ECFD82" w:rsidR="00965203" w:rsidRPr="003B2899" w:rsidRDefault="00965203" w:rsidP="00755EC4">
      <w:pPr>
        <w:spacing w:before="0" w:after="0" w:line="360" w:lineRule="auto"/>
        <w:ind w:firstLine="709"/>
        <w:jc w:val="both"/>
        <w:rPr>
          <w:lang w:val="en-US" w:eastAsia="fr-FR"/>
        </w:rPr>
      </w:pPr>
      <w:r w:rsidRPr="003B2899">
        <w:rPr>
          <w:lang w:val="en-US" w:eastAsia="fr-FR"/>
        </w:rPr>
        <w:t>Sin embargo, el caso de Metz no implicó iniciativas en centros de atención residencial para personas mayores dependientes. La ausencia de las poblaciones mayores más vulnerables en este territorio se compensó con su inclusión en otro grupo ubicado en la región de Hauts-de-France, en el norte de Francia. El enfoque basado en el lugar de residencia y la integración de contrastes sociológicos se ve reforzado por la vigilancia de la diversidad territorial. Así, se incluyeron diversas configuraciones territoriales, incluyendo tanto áreas metropolitanas como Metz y Estrasburgo, como municipios más pequeños como Thann (Alsacia), ciudades medianas e incluso una aldea rural (Entre Vignes) en el sur de Francia.</w:t>
      </w:r>
    </w:p>
    <w:p w14:paraId="34A886B2" w14:textId="1DED9261" w:rsidR="00965203" w:rsidRPr="003B2899" w:rsidRDefault="00965203" w:rsidP="00755EC4">
      <w:pPr>
        <w:spacing w:before="0" w:after="0" w:line="360" w:lineRule="auto"/>
        <w:ind w:firstLine="709"/>
        <w:jc w:val="both"/>
        <w:rPr>
          <w:lang w:val="en-US" w:eastAsia="fr-FR"/>
        </w:rPr>
      </w:pPr>
      <w:r w:rsidRPr="003B2899">
        <w:rPr>
          <w:lang w:val="en-US" w:eastAsia="fr-FR"/>
        </w:rPr>
        <w:t xml:space="preserve">Más allá de la atención a los perfiles y contextos sociológicos, uno de los desafíos clave reside en articular esta diversidad con el objetivo de generar experiencia ciudadana. El objetivo es ir más allá de las quejas individuales para fomentar la creación de una auténtica experiencia ciudadana, integrando diversas esferas sociales. El objetivo es transformar las preocupaciones personales en inteligencia colectiva, permitiendo el surgimiento de un cuerpo de ciudadanos expertos capaces de abogar colectivamente. Tras la fase de diagnóstico, esta experiencia se materializa mediante el desarrollo de herramientas temáticas y la redacción del «Memorando </w:t>
      </w:r>
      <w:r w:rsidRPr="003B2899">
        <w:rPr>
          <w:lang w:val="en-US" w:eastAsia="fr-FR"/>
        </w:rPr>
        <w:lastRenderedPageBreak/>
        <w:t>Ciudadano», con el apoyo de investigadores que sintetizan las recomendaciones y propuestas formuladas por los participantes mayores.</w:t>
      </w:r>
    </w:p>
    <w:p w14:paraId="40442B70" w14:textId="1F15B3DA" w:rsidR="00965203" w:rsidRPr="003B2899" w:rsidRDefault="00965203" w:rsidP="00755EC4">
      <w:pPr>
        <w:spacing w:before="0" w:after="0" w:line="360" w:lineRule="auto"/>
        <w:ind w:firstLine="709"/>
        <w:jc w:val="both"/>
        <w:rPr>
          <w:lang w:val="en-US" w:eastAsia="fr-FR"/>
        </w:rPr>
      </w:pPr>
      <w:r w:rsidRPr="003B2899">
        <w:rPr>
          <w:lang w:val="en-US" w:eastAsia="fr-FR"/>
        </w:rPr>
        <w:t>La participación en la toma de decisiones públicas y los procesos institucionales también es clave. El "Memorando Ciudadano" sirve como herramienta de incidencia política, permitiendo a los participantes influir en los debates públicos. Para fortalecer esta participación, se imparten sesiones de capacitación para desarrollar un hábito ciudadano, animando a la ciudadanía a participar en foros y espacios participativos, respetando sus experiencias, intenciones y mensajes.</w:t>
      </w:r>
    </w:p>
    <w:p w14:paraId="12433A30" w14:textId="15C39DF1" w:rsidR="00965203" w:rsidRPr="003B2899" w:rsidRDefault="00965203" w:rsidP="00755EC4">
      <w:pPr>
        <w:spacing w:before="0" w:after="0" w:line="360" w:lineRule="auto"/>
        <w:ind w:firstLine="709"/>
        <w:jc w:val="both"/>
        <w:rPr>
          <w:lang w:val="en-US" w:eastAsia="fr-FR"/>
        </w:rPr>
      </w:pPr>
      <w:r w:rsidRPr="003B2899">
        <w:rPr>
          <w:lang w:val="en-US" w:eastAsia="fr-FR"/>
        </w:rPr>
        <w:t>Dentro de esta dinámica, la experiencia en Metz se limitó en gran medida a una fuerte presencia en un Ágora. El Ágora representa un marco exploratorio donde se generan ideas sin la expectativa de una toma de decisiones políticas inmediata. Se alinea con mecanismos participativos como las consultas públicas y las asambleas ciudadanas. El nivel de integración en los procesos de toma de decisiones podría mejorarse mediante la inclusión en "foros", es decir, órganos de decisión estructurados diseñados para debates generales o especializados. Estos foros facilitan las negociaciones entre los actores interesados, dando forma a las políticas públicas territoriales. Se podría imaginar que el trabajo de las personas mayores sirva como base para las deliberaciones municipales, donde los funcionarios electos incluirían en su agenda el debate sobre las propuestas de los Talleres de Diseño Ciudadano.</w:t>
      </w:r>
    </w:p>
    <w:p w14:paraId="381BF664" w14:textId="77777777" w:rsidR="00965203" w:rsidRPr="003B2899" w:rsidRDefault="00965203" w:rsidP="00755EC4">
      <w:pPr>
        <w:spacing w:before="0" w:after="0" w:line="360" w:lineRule="auto"/>
        <w:ind w:firstLine="709"/>
        <w:jc w:val="both"/>
        <w:rPr>
          <w:lang w:val="en-US" w:eastAsia="fr-FR"/>
        </w:rPr>
      </w:pPr>
      <w:r w:rsidRPr="003B2899">
        <w:rPr>
          <w:lang w:val="en-US" w:eastAsia="fr-FR"/>
        </w:rPr>
        <w:t>Finalmente, se han desarrollado herramientas para proporcionar a la ciudadanía y a los investigadores mecanismos de evaluación a posteriori para el seguimiento de las decisiones públicas. Estas herramientas incluyen mecanismos de evaluación integrados en hojas de acción e informes de progreso con intervalos de seis y doce meses.</w:t>
      </w:r>
    </w:p>
    <w:p w14:paraId="23C82196" w14:textId="3D8B6DCF" w:rsidR="00965203" w:rsidRDefault="00965203" w:rsidP="00755EC4">
      <w:pPr>
        <w:spacing w:before="0" w:after="0" w:line="360" w:lineRule="auto"/>
        <w:ind w:firstLine="709"/>
        <w:jc w:val="both"/>
        <w:rPr>
          <w:lang w:val="en-US" w:eastAsia="fr-FR"/>
        </w:rPr>
      </w:pPr>
      <w:r w:rsidRPr="003B2899">
        <w:rPr>
          <w:lang w:val="en-US" w:eastAsia="fr-FR"/>
        </w:rPr>
        <w:t>A pesar de estos avances, persisten desafíos, tanto para la investigación en ciencias sociales como para la profundización de los mecanismos democráticos. Esto exige una reflexión continua sobre las prácticas participativas y su impacto en la gobernanza pública. Por ello, la Cátedra Internacional SIAGE se propone seguir desarrollando la experimentación con Talleres de Diseño Ciudadano para perfeccionar el modelo de inclusión.</w:t>
      </w:r>
    </w:p>
    <w:p w14:paraId="36E0D822" w14:textId="77777777" w:rsidR="00755EC4" w:rsidRPr="003B2899" w:rsidRDefault="00755EC4" w:rsidP="00755EC4">
      <w:pPr>
        <w:spacing w:before="0" w:after="0" w:line="360" w:lineRule="auto"/>
        <w:ind w:firstLine="709"/>
        <w:jc w:val="both"/>
        <w:rPr>
          <w:lang w:val="en-US" w:eastAsia="fr-FR"/>
        </w:rPr>
      </w:pPr>
    </w:p>
    <w:p w14:paraId="4FBD475D" w14:textId="3E048BAD" w:rsidR="00965203" w:rsidRPr="003B2899" w:rsidRDefault="005A6E01" w:rsidP="003B2899">
      <w:pPr>
        <w:jc w:val="center"/>
        <w:rPr>
          <w:b/>
          <w:bCs/>
          <w:sz w:val="32"/>
          <w:szCs w:val="32"/>
        </w:rPr>
      </w:pPr>
      <w:bookmarkStart w:id="15" w:name="_Toc193356888"/>
      <w:r w:rsidRPr="003B2899">
        <w:rPr>
          <w:b/>
          <w:bCs/>
          <w:sz w:val="32"/>
          <w:szCs w:val="32"/>
        </w:rPr>
        <w:t>Conclusión</w:t>
      </w:r>
      <w:bookmarkEnd w:id="15"/>
    </w:p>
    <w:p w14:paraId="7199B8CA" w14:textId="4F860FB5" w:rsidR="00D969F4" w:rsidRPr="003B2899" w:rsidRDefault="00965203" w:rsidP="00755EC4">
      <w:pPr>
        <w:spacing w:before="0" w:after="0" w:line="360" w:lineRule="auto"/>
        <w:ind w:firstLine="709"/>
        <w:jc w:val="both"/>
        <w:rPr>
          <w:lang w:val="en-US" w:eastAsia="fr-FR"/>
        </w:rPr>
      </w:pPr>
      <w:r w:rsidRPr="003B2899">
        <w:rPr>
          <w:lang w:val="en-US" w:eastAsia="fr-FR"/>
        </w:rPr>
        <w:t xml:space="preserve">La transición demográfica presenta desafíos complejos para una ciudadanía activa y sostenible, lo que insta a redefinir la inclusión, la participación y la solidaridad intergeneracional. Este artículo aboga por un cambio de paradigma —de percibir el </w:t>
      </w:r>
      <w:r w:rsidRPr="003B2899">
        <w:rPr>
          <w:lang w:val="en-US" w:eastAsia="fr-FR"/>
        </w:rPr>
        <w:lastRenderedPageBreak/>
        <w:t>envejecimiento como una carga a reconocerlo como una oportunidad— y exige políticas que empoderen a las personas a lo largo de su vida, garantizando que la ciudadanía se mantenga dinámica, participativa y equitativa en todas las edades.</w:t>
      </w:r>
    </w:p>
    <w:p w14:paraId="3BCB02ED" w14:textId="21C64994" w:rsidR="00D969F4" w:rsidRPr="003B2899" w:rsidRDefault="00D969F4" w:rsidP="00755EC4">
      <w:pPr>
        <w:spacing w:before="0" w:after="0" w:line="360" w:lineRule="auto"/>
        <w:ind w:firstLine="709"/>
        <w:jc w:val="both"/>
        <w:rPr>
          <w:lang w:val="en-US" w:eastAsia="fr-FR"/>
        </w:rPr>
      </w:pPr>
      <w:r w:rsidRPr="003B2899">
        <w:rPr>
          <w:lang w:val="en-US" w:eastAsia="fr-FR"/>
        </w:rPr>
        <w:t>El método de Talleres de Diseño Ciudadano (TCC), diseñado por un grupo de sociólogos franceses, ofrece un enfoque original para potenciar la participación social de las personas mayores en la toma de decisiones a nivel local. Sus primeros resultados demuestran que las personas mayores son plenamente capaces de aprender diferentes maneras de participar en el marco propuesto, convirtiéndose en participantes activos en la configuración de sus comunidades y las estructuras de gobernanza local. Estos talleres promueven la interacción entre las personas mayores, los responsables de la toma de decisiones públicas (funcionarios electos, profesionales) y los actores de la sociedad civil en la definición de la acción pública.</w:t>
      </w:r>
    </w:p>
    <w:p w14:paraId="27843AC0" w14:textId="19ADA99B" w:rsidR="00D969F4" w:rsidRPr="003B2899" w:rsidRDefault="00D969F4" w:rsidP="00755EC4">
      <w:pPr>
        <w:spacing w:before="0" w:after="0" w:line="360" w:lineRule="auto"/>
        <w:ind w:firstLine="709"/>
        <w:jc w:val="both"/>
        <w:rPr>
          <w:lang w:val="en-US" w:eastAsia="fr-FR"/>
        </w:rPr>
      </w:pPr>
      <w:r w:rsidRPr="003B2899">
        <w:rPr>
          <w:lang w:val="en-US" w:eastAsia="fr-FR"/>
        </w:rPr>
        <w:t>El ejemplo de los Talleres de Diseño Ciudadano subraya el valor de los enfoques participativos como herramienta que permite la inclusión de grupos a menudo marginados o incluso excluidos de la dinámica local de toma de decisiones. Estas metodologías podrían integrarse en la ingeniería gerontológica, fomentando un modelo más inclusivo y dinámico de participación cívica a lo largo de la vida.</w:t>
      </w:r>
    </w:p>
    <w:p w14:paraId="3C23B615" w14:textId="23F6205E" w:rsidR="00D969F4" w:rsidRDefault="00D969F4" w:rsidP="00755EC4">
      <w:pPr>
        <w:spacing w:before="0" w:after="0" w:line="360" w:lineRule="auto"/>
        <w:ind w:firstLine="709"/>
        <w:jc w:val="both"/>
        <w:rPr>
          <w:lang w:val="en-US" w:eastAsia="fr-FR"/>
        </w:rPr>
      </w:pPr>
      <w:r w:rsidRPr="003B2899">
        <w:rPr>
          <w:lang w:val="en-US" w:eastAsia="fr-FR"/>
        </w:rPr>
        <w:t xml:space="preserve">Al acoger estas transformaciones, las sociedades pueden convertir el cambio demográfico en un catalizador para un futuro más inclusivo, justo y sostenible, tal como se prevé en el Compromiso Mundial de la UNESCO con el Desarrollo Sostenible y la Inclusión Social. Este artículo busca abrir nuevos </w:t>
      </w:r>
      <w:r w:rsidR="00895C6E" w:rsidRPr="003B2899">
        <w:rPr>
          <w:lang w:val="en-US" w:eastAsia="fr-FR"/>
        </w:rPr>
        <w:t>debates sobre el papel de los científicos sociales y las metodologías en el proceso social y político de reformulación e implementación de un marco más amplio de democracia participativa.</w:t>
      </w:r>
    </w:p>
    <w:p w14:paraId="2875A7B6" w14:textId="77777777" w:rsidR="00755EC4" w:rsidRPr="003B2899" w:rsidRDefault="00755EC4" w:rsidP="00755EC4">
      <w:pPr>
        <w:spacing w:before="0" w:after="0" w:line="360" w:lineRule="auto"/>
        <w:ind w:firstLine="709"/>
        <w:jc w:val="both"/>
        <w:rPr>
          <w:lang w:val="en-US" w:eastAsia="fr-FR"/>
        </w:rPr>
      </w:pPr>
    </w:p>
    <w:p w14:paraId="59509A85" w14:textId="79EBB484" w:rsidR="00863C4A" w:rsidRPr="003B2899" w:rsidRDefault="00EF72CC" w:rsidP="004404A8">
      <w:pPr>
        <w:pStyle w:val="Ttulo1"/>
        <w:spacing w:line="276" w:lineRule="auto"/>
        <w:jc w:val="both"/>
        <w:rPr>
          <w:sz w:val="24"/>
          <w:szCs w:val="24"/>
          <w:lang w:val="en-US"/>
        </w:rPr>
      </w:pPr>
      <w:bookmarkStart w:id="16" w:name="_Toc193356889"/>
      <w:r w:rsidRPr="003B2899">
        <w:rPr>
          <w:sz w:val="24"/>
          <w:szCs w:val="24"/>
          <w:lang w:val="en-US"/>
        </w:rPr>
        <w:t>Bibliografía</w:t>
      </w:r>
      <w:bookmarkEnd w:id="16"/>
    </w:p>
    <w:p w14:paraId="1F569808" w14:textId="5763D6EF" w:rsidR="00EB7723" w:rsidRPr="003B2899" w:rsidRDefault="00EB7723" w:rsidP="005E1CF2">
      <w:pPr>
        <w:spacing w:before="100" w:beforeAutospacing="1" w:after="100" w:afterAutospacing="1" w:line="276" w:lineRule="auto"/>
        <w:ind w:firstLine="709"/>
        <w:jc w:val="both"/>
        <w:rPr>
          <w:lang w:val="en-US" w:eastAsia="fr-FR"/>
        </w:rPr>
      </w:pPr>
      <w:proofErr w:type="spellStart"/>
      <w:r w:rsidRPr="003B2899">
        <w:rPr>
          <w:lang w:val="en-US" w:eastAsia="fr-FR"/>
        </w:rPr>
        <w:t>Achenbaum</w:t>
      </w:r>
      <w:proofErr w:type="spellEnd"/>
      <w:r w:rsidRPr="003B2899">
        <w:rPr>
          <w:lang w:val="en-US" w:eastAsia="fr-FR"/>
        </w:rPr>
        <w:t xml:space="preserve"> , A. (2015). Una historia del edadismo desde 1969. </w:t>
      </w:r>
      <w:r w:rsidRPr="003B2899">
        <w:rPr>
          <w:i/>
          <w:iCs/>
          <w:lang w:val="en-US" w:eastAsia="fr-FR"/>
        </w:rPr>
        <w:t xml:space="preserve">Generaciones, 39 </w:t>
      </w:r>
      <w:r w:rsidRPr="003B2899">
        <w:rPr>
          <w:lang w:val="en-US" w:eastAsia="fr-FR"/>
        </w:rPr>
        <w:t>(3), 10-16.</w:t>
      </w:r>
    </w:p>
    <w:p w14:paraId="67A55958" w14:textId="46234127" w:rsidR="00805715" w:rsidRPr="003B2899" w:rsidRDefault="00805715" w:rsidP="005E1CF2">
      <w:pPr>
        <w:spacing w:before="100" w:beforeAutospacing="1" w:after="100" w:afterAutospacing="1" w:line="276" w:lineRule="auto"/>
        <w:ind w:firstLine="709"/>
        <w:jc w:val="both"/>
        <w:rPr>
          <w:lang w:val="en-US"/>
        </w:rPr>
      </w:pPr>
      <w:r w:rsidRPr="003B2899">
        <w:rPr>
          <w:lang w:val="en-US"/>
        </w:rPr>
        <w:t xml:space="preserve">Amnistía Internacional. (13 de junio de 2024). </w:t>
      </w:r>
      <w:r w:rsidRPr="003B2899">
        <w:rPr>
          <w:rStyle w:val="nfasis"/>
          <w:lang w:val="en-US"/>
        </w:rPr>
        <w:t xml:space="preserve">Amnistía Internacional lanza una nueva campaña para proteger los derechos humanos en la vejez </w:t>
      </w:r>
      <w:r w:rsidRPr="003B2899">
        <w:rPr>
          <w:lang w:val="en-US"/>
        </w:rPr>
        <w:t xml:space="preserve">. Amnistía Internacional. </w:t>
      </w:r>
      <w:hyperlink r:id="rId12" w:tgtFrame="_new" w:history="1">
        <w:r w:rsidRPr="003B2899">
          <w:rPr>
            <w:rStyle w:val="Hipervnculo"/>
            <w:lang w:val="en-US"/>
          </w:rPr>
          <w:t>https://www.amnesty.org/en/latest/campaigns/2024/06/amnesty-international-launches-new-campaign-to-protect-human-rights-in-older-age/</w:t>
        </w:r>
      </w:hyperlink>
    </w:p>
    <w:p w14:paraId="0EEAE8AC" w14:textId="5956BAFC" w:rsidR="00FB1411" w:rsidRPr="003B2899" w:rsidRDefault="00FB1411" w:rsidP="005E1CF2">
      <w:pPr>
        <w:spacing w:before="100" w:beforeAutospacing="1" w:after="100" w:afterAutospacing="1" w:line="276" w:lineRule="auto"/>
        <w:ind w:firstLine="709"/>
        <w:jc w:val="both"/>
        <w:rPr>
          <w:rStyle w:val="Hipervnculo"/>
          <w:lang w:val="en-US"/>
        </w:rPr>
      </w:pPr>
      <w:r w:rsidRPr="003B2899">
        <w:lastRenderedPageBreak/>
        <w:t xml:space="preserve">Amnistía Internacional. (2020). </w:t>
      </w:r>
      <w:r w:rsidRPr="003B2899">
        <w:rPr>
          <w:rStyle w:val="nfasis"/>
        </w:rPr>
        <w:t xml:space="preserve">Les maisons de repos dans l'angle mort: Les droits humains des personnes âgées hanging la pandémie de COVID-19 en Belgique </w:t>
      </w:r>
      <w:r w:rsidRPr="003B2899">
        <w:t xml:space="preserve">. </w:t>
      </w:r>
      <w:hyperlink r:id="rId13" w:tgtFrame="_new" w:history="1">
        <w:r w:rsidRPr="003B2899">
          <w:rPr>
            <w:rStyle w:val="Hipervnculo"/>
            <w:lang w:val="en-US"/>
          </w:rPr>
          <w:t>https://www.amnesty.org/fr/documents/eur14/5504/2020/fr/</w:t>
        </w:r>
      </w:hyperlink>
    </w:p>
    <w:p w14:paraId="6F5038BD" w14:textId="033AABD4" w:rsidR="008E332A" w:rsidRPr="003B2899" w:rsidRDefault="008E332A" w:rsidP="005E1CF2">
      <w:pPr>
        <w:spacing w:before="100" w:beforeAutospacing="1" w:after="100" w:afterAutospacing="1"/>
        <w:ind w:firstLine="709"/>
        <w:jc w:val="both"/>
        <w:rPr>
          <w:lang w:eastAsia="fr-FR"/>
        </w:rPr>
      </w:pPr>
      <w:proofErr w:type="spellStart"/>
      <w:r w:rsidRPr="003B2899">
        <w:rPr>
          <w:lang w:eastAsia="fr-FR"/>
        </w:rPr>
        <w:t>Argoud</w:t>
      </w:r>
      <w:proofErr w:type="spellEnd"/>
      <w:r w:rsidRPr="003B2899">
        <w:rPr>
          <w:lang w:eastAsia="fr-FR"/>
        </w:rPr>
        <w:t xml:space="preserve"> , D. (2022). La parole des vieux est-elle mieux entendue à l'heure des pratiques inclusives ? </w:t>
      </w:r>
      <w:r w:rsidRPr="003B2899">
        <w:rPr>
          <w:i/>
          <w:iCs/>
          <w:lang w:eastAsia="fr-FR"/>
        </w:rPr>
        <w:t xml:space="preserve">Gérontologie et société, 44 </w:t>
      </w:r>
      <w:r w:rsidRPr="003B2899">
        <w:rPr>
          <w:lang w:eastAsia="fr-FR"/>
        </w:rPr>
        <w:t>(167), 117-129.</w:t>
      </w:r>
    </w:p>
    <w:p w14:paraId="6AD692B5" w14:textId="15BEB076" w:rsidR="004404A8" w:rsidRPr="003B2899" w:rsidRDefault="004404A8" w:rsidP="005E1CF2">
      <w:pPr>
        <w:spacing w:line="276" w:lineRule="auto"/>
        <w:ind w:firstLine="709"/>
      </w:pPr>
      <w:proofErr w:type="spellStart"/>
      <w:r w:rsidRPr="003B2899">
        <w:rPr>
          <w:lang w:val="en-US" w:eastAsia="fr-FR"/>
        </w:rPr>
        <w:t>Blanpain</w:t>
      </w:r>
      <w:proofErr w:type="spellEnd"/>
      <w:r w:rsidRPr="003B2899">
        <w:rPr>
          <w:lang w:val="en-US" w:eastAsia="fr-FR"/>
        </w:rPr>
        <w:t xml:space="preserve"> N., Chardón O. (2010). </w:t>
      </w:r>
      <w:r w:rsidRPr="003B2899">
        <w:rPr>
          <w:lang w:eastAsia="fr-FR"/>
        </w:rPr>
        <w:t xml:space="preserve">Proyecciones de población 2007-2060 para la Francia metropolitana ». </w:t>
      </w:r>
      <w:r w:rsidRPr="003B2899">
        <w:rPr>
          <w:i/>
          <w:iCs/>
          <w:lang w:eastAsia="fr-FR"/>
        </w:rPr>
        <w:t xml:space="preserve">Documento de trabajo n° F1008, Insee </w:t>
      </w:r>
      <w:r w:rsidRPr="003B2899">
        <w:rPr>
          <w:lang w:eastAsia="fr-FR"/>
        </w:rPr>
        <w:t>, octubre de 2010.</w:t>
      </w:r>
    </w:p>
    <w:p w14:paraId="581335E9" w14:textId="4B46812E" w:rsidR="00EB7723" w:rsidRPr="003B2899" w:rsidRDefault="00EB7723" w:rsidP="005E1CF2">
      <w:pPr>
        <w:spacing w:before="100" w:beforeAutospacing="1" w:after="100" w:afterAutospacing="1" w:line="276" w:lineRule="auto"/>
        <w:ind w:firstLine="709"/>
        <w:jc w:val="both"/>
        <w:rPr>
          <w:lang w:val="en-US" w:eastAsia="fr-FR"/>
        </w:rPr>
      </w:pPr>
      <w:proofErr w:type="spellStart"/>
      <w:r w:rsidRPr="003B2899">
        <w:rPr>
          <w:lang w:eastAsia="fr-FR"/>
        </w:rPr>
        <w:t>Buffel</w:t>
      </w:r>
      <w:proofErr w:type="spellEnd"/>
      <w:r w:rsidRPr="003B2899">
        <w:rPr>
          <w:lang w:eastAsia="fr-FR"/>
        </w:rPr>
        <w:t xml:space="preserve"> , T., y </w:t>
      </w:r>
      <w:proofErr w:type="spellStart"/>
      <w:r w:rsidRPr="003B2899">
        <w:rPr>
          <w:lang w:eastAsia="fr-FR"/>
        </w:rPr>
        <w:t>Phillipson</w:t>
      </w:r>
      <w:proofErr w:type="spellEnd"/>
      <w:r w:rsidRPr="003B2899">
        <w:rPr>
          <w:lang w:eastAsia="fr-FR"/>
        </w:rPr>
        <w:t xml:space="preserve"> , C. (2019). </w:t>
      </w:r>
      <w:proofErr w:type="spellStart"/>
      <w:r w:rsidRPr="003B2899">
        <w:rPr>
          <w:i/>
          <w:iCs/>
          <w:lang w:val="en-US" w:eastAsia="fr-FR"/>
        </w:rPr>
        <w:t>Envejecimiento</w:t>
      </w:r>
      <w:proofErr w:type="spellEnd"/>
      <w:r w:rsidRPr="003B2899">
        <w:rPr>
          <w:i/>
          <w:iCs/>
          <w:lang w:val="en-US" w:eastAsia="fr-FR"/>
        </w:rPr>
        <w:t xml:space="preserve"> </w:t>
      </w:r>
      <w:proofErr w:type="spellStart"/>
      <w:r w:rsidRPr="003B2899">
        <w:rPr>
          <w:i/>
          <w:iCs/>
          <w:lang w:val="en-US" w:eastAsia="fr-FR"/>
        </w:rPr>
        <w:t>en</w:t>
      </w:r>
      <w:proofErr w:type="spellEnd"/>
      <w:r w:rsidRPr="003B2899">
        <w:rPr>
          <w:i/>
          <w:iCs/>
          <w:lang w:val="en-US" w:eastAsia="fr-FR"/>
        </w:rPr>
        <w:t xml:space="preserve"> barrios </w:t>
      </w:r>
      <w:proofErr w:type="spellStart"/>
      <w:r w:rsidRPr="003B2899">
        <w:rPr>
          <w:i/>
          <w:iCs/>
          <w:lang w:val="en-US" w:eastAsia="fr-FR"/>
        </w:rPr>
        <w:t>urbanos</w:t>
      </w:r>
      <w:proofErr w:type="spellEnd"/>
      <w:r w:rsidRPr="003B2899">
        <w:rPr>
          <w:i/>
          <w:iCs/>
          <w:lang w:val="en-US" w:eastAsia="fr-FR"/>
        </w:rPr>
        <w:t xml:space="preserve"> : </w:t>
      </w:r>
      <w:proofErr w:type="spellStart"/>
      <w:r w:rsidRPr="003B2899">
        <w:rPr>
          <w:i/>
          <w:iCs/>
          <w:lang w:val="en-US" w:eastAsia="fr-FR"/>
        </w:rPr>
        <w:t>Apego</w:t>
      </w:r>
      <w:proofErr w:type="spellEnd"/>
      <w:r w:rsidRPr="003B2899">
        <w:rPr>
          <w:i/>
          <w:iCs/>
          <w:lang w:val="en-US" w:eastAsia="fr-FR"/>
        </w:rPr>
        <w:t xml:space="preserve"> al </w:t>
      </w:r>
      <w:proofErr w:type="spellStart"/>
      <w:r w:rsidRPr="003B2899">
        <w:rPr>
          <w:i/>
          <w:iCs/>
          <w:lang w:val="en-US" w:eastAsia="fr-FR"/>
        </w:rPr>
        <w:t>lugar</w:t>
      </w:r>
      <w:proofErr w:type="spellEnd"/>
      <w:r w:rsidRPr="003B2899">
        <w:rPr>
          <w:i/>
          <w:iCs/>
          <w:lang w:val="en-US" w:eastAsia="fr-FR"/>
        </w:rPr>
        <w:t xml:space="preserve"> y exclusión social. </w:t>
      </w:r>
      <w:r w:rsidRPr="003B2899">
        <w:rPr>
          <w:lang w:val="en-US" w:eastAsia="fr-FR"/>
        </w:rPr>
        <w:t>Policy Press.</w:t>
      </w:r>
    </w:p>
    <w:p w14:paraId="4574F985" w14:textId="055A7AC8" w:rsidR="00FB1411" w:rsidRPr="003B2899" w:rsidRDefault="00EB7723" w:rsidP="005E1CF2">
      <w:pPr>
        <w:spacing w:before="100" w:beforeAutospacing="1" w:after="100" w:afterAutospacing="1" w:line="276" w:lineRule="auto"/>
        <w:ind w:firstLine="709"/>
        <w:jc w:val="both"/>
        <w:rPr>
          <w:lang w:val="en-US" w:eastAsia="fr-FR"/>
        </w:rPr>
      </w:pPr>
      <w:r w:rsidRPr="003B2899">
        <w:rPr>
          <w:lang w:val="en-US" w:eastAsia="fr-FR"/>
        </w:rPr>
        <w:t xml:space="preserve">Butler, R. (1969). Edadismo: Otra forma de intolerancia. </w:t>
      </w:r>
      <w:r w:rsidRPr="003B2899">
        <w:rPr>
          <w:i/>
          <w:iCs/>
          <w:lang w:val="en-US" w:eastAsia="fr-FR"/>
        </w:rPr>
        <w:t xml:space="preserve">The Gerontologist, 9 </w:t>
      </w:r>
      <w:r w:rsidRPr="003B2899">
        <w:rPr>
          <w:lang w:val="en-US" w:eastAsia="fr-FR"/>
        </w:rPr>
        <w:t>, 243-246.</w:t>
      </w:r>
    </w:p>
    <w:p w14:paraId="2CACAC64" w14:textId="5BE7FFFD" w:rsidR="00C20E67" w:rsidRPr="003B2899" w:rsidRDefault="00C20E67" w:rsidP="005E1CF2">
      <w:pPr>
        <w:spacing w:before="0" w:after="0" w:line="276" w:lineRule="auto"/>
        <w:ind w:firstLine="709"/>
        <w:jc w:val="both"/>
        <w:rPr>
          <w:color w:val="1B1B1B"/>
          <w:highlight w:val="yellow"/>
          <w:lang w:val="en-US" w:eastAsia="fr-FR"/>
        </w:rPr>
      </w:pPr>
      <w:r w:rsidRPr="003B2899">
        <w:rPr>
          <w:rStyle w:val="Textoennegrita"/>
          <w:b w:val="0"/>
          <w:bCs w:val="0"/>
          <w:lang w:val="en-US"/>
        </w:rPr>
        <w:t xml:space="preserve">Cisternas Reyes, MS y Kornfeld-Matte, R. </w:t>
      </w:r>
      <w:r w:rsidRPr="003B2899">
        <w:rPr>
          <w:lang w:val="en-US"/>
        </w:rPr>
        <w:t xml:space="preserve">(2023). </w:t>
      </w:r>
      <w:r w:rsidRPr="003B2899">
        <w:rPr>
          <w:rStyle w:val="nfasis"/>
          <w:lang w:val="en-US"/>
        </w:rPr>
        <w:t xml:space="preserve">Entrevista a María Soledad Cisternas Reyes y Rosa Kornfeld-Matte. </w:t>
      </w:r>
      <w:r w:rsidRPr="003B2899">
        <w:rPr>
          <w:lang w:val="en-US"/>
        </w:rPr>
        <w:t xml:space="preserve">Aequitas, </w:t>
      </w:r>
      <w:r w:rsidRPr="003B2899">
        <w:rPr>
          <w:rStyle w:val="Textoennegrita"/>
          <w:b w:val="0"/>
          <w:bCs w:val="0"/>
          <w:lang w:val="en-US"/>
        </w:rPr>
        <w:t xml:space="preserve">29 </w:t>
      </w:r>
      <w:r w:rsidRPr="003B2899">
        <w:rPr>
          <w:b/>
          <w:bCs/>
          <w:lang w:val="en-US"/>
        </w:rPr>
        <w:t xml:space="preserve">( </w:t>
      </w:r>
      <w:r w:rsidRPr="003B2899">
        <w:rPr>
          <w:lang w:val="en-US"/>
        </w:rPr>
        <w:t xml:space="preserve">2), 75–88. </w:t>
      </w:r>
      <w:hyperlink r:id="rId14" w:tgtFrame="_new" w:history="1">
        <w:r w:rsidRPr="003B2899">
          <w:rPr>
            <w:rStyle w:val="Hipervnculo"/>
            <w:lang w:val="en-US"/>
          </w:rPr>
          <w:t>https://doi.org/10.7202/1108107ar</w:t>
        </w:r>
      </w:hyperlink>
    </w:p>
    <w:p w14:paraId="71C1A37C" w14:textId="77777777" w:rsidR="00EB7723" w:rsidRPr="003B2899" w:rsidRDefault="00EB7723" w:rsidP="005E1CF2">
      <w:pPr>
        <w:spacing w:before="100" w:beforeAutospacing="1" w:after="100" w:afterAutospacing="1" w:line="276" w:lineRule="auto"/>
        <w:ind w:firstLine="709"/>
        <w:jc w:val="both"/>
        <w:rPr>
          <w:lang w:val="en-US" w:eastAsia="fr-FR"/>
        </w:rPr>
      </w:pPr>
      <w:r w:rsidRPr="003B2899">
        <w:rPr>
          <w:lang w:val="en-US" w:eastAsia="fr-FR"/>
        </w:rPr>
        <w:t xml:space="preserve">Comisión Económica para América Latina y el Caribe (CEPAL). (2012). </w:t>
      </w:r>
      <w:r w:rsidRPr="003B2899">
        <w:rPr>
          <w:i/>
          <w:iCs/>
          <w:lang w:val="en-US" w:eastAsia="fr-FR"/>
        </w:rPr>
        <w:t xml:space="preserve">Carta de San José sobre los Derechos de las Personas Mayores en América Latina y el Caribe. </w:t>
      </w:r>
      <w:r w:rsidRPr="003B2899">
        <w:rPr>
          <w:lang w:val="en-US" w:eastAsia="fr-FR"/>
        </w:rPr>
        <w:t>https://repositorio.cepal.org/bitstream/handle/11362/21535/1/S2012897_en.pdf</w:t>
      </w:r>
    </w:p>
    <w:p w14:paraId="2CA9C342" w14:textId="77777777" w:rsidR="00EB7723" w:rsidRPr="003B2899" w:rsidRDefault="00EB7723" w:rsidP="005E1CF2">
      <w:pPr>
        <w:spacing w:before="100" w:beforeAutospacing="1" w:after="100" w:afterAutospacing="1" w:line="276" w:lineRule="auto"/>
        <w:ind w:firstLine="709"/>
        <w:jc w:val="both"/>
        <w:rPr>
          <w:lang w:val="en-US" w:eastAsia="fr-FR"/>
        </w:rPr>
      </w:pPr>
      <w:proofErr w:type="spellStart"/>
      <w:r w:rsidRPr="003B2899">
        <w:rPr>
          <w:lang w:eastAsia="fr-FR"/>
        </w:rPr>
        <w:t>Gannon</w:t>
      </w:r>
      <w:proofErr w:type="spellEnd"/>
      <w:r w:rsidRPr="003B2899">
        <w:rPr>
          <w:lang w:eastAsia="fr-FR"/>
        </w:rPr>
        <w:t xml:space="preserve"> , F., y col. (2023). La réforme Borne 2023 des retraites: una puesta en perspectiva. </w:t>
      </w:r>
      <w:r w:rsidRPr="003B2899">
        <w:rPr>
          <w:i/>
          <w:iCs/>
          <w:lang w:val="en-US" w:eastAsia="fr-FR"/>
        </w:rPr>
        <w:t xml:space="preserve">L'économie française 2024, La </w:t>
      </w:r>
      <w:proofErr w:type="spellStart"/>
      <w:r w:rsidRPr="003B2899">
        <w:rPr>
          <w:i/>
          <w:iCs/>
          <w:lang w:val="en-US" w:eastAsia="fr-FR"/>
        </w:rPr>
        <w:t>Découverte</w:t>
      </w:r>
      <w:proofErr w:type="spellEnd"/>
      <w:r w:rsidRPr="003B2899">
        <w:rPr>
          <w:i/>
          <w:iCs/>
          <w:lang w:val="en-US" w:eastAsia="fr-FR"/>
        </w:rPr>
        <w:t xml:space="preserve"> </w:t>
      </w:r>
      <w:r w:rsidRPr="003B2899">
        <w:rPr>
          <w:lang w:val="en-US" w:eastAsia="fr-FR"/>
        </w:rPr>
        <w:t>, 91-99.</w:t>
      </w:r>
    </w:p>
    <w:p w14:paraId="3630CD9F" w14:textId="5DD30D61" w:rsidR="00655B0F" w:rsidRPr="003B2899" w:rsidRDefault="00EB7723" w:rsidP="005E1CF2">
      <w:pPr>
        <w:spacing w:before="100" w:beforeAutospacing="1" w:after="100" w:afterAutospacing="1" w:line="276" w:lineRule="auto"/>
        <w:ind w:firstLine="709"/>
        <w:jc w:val="both"/>
        <w:rPr>
          <w:lang w:eastAsia="fr-FR"/>
        </w:rPr>
      </w:pPr>
      <w:proofErr w:type="spellStart"/>
      <w:r w:rsidRPr="003B2899">
        <w:rPr>
          <w:lang w:val="en-US" w:eastAsia="fr-FR"/>
        </w:rPr>
        <w:t>Georgantzi</w:t>
      </w:r>
      <w:proofErr w:type="spellEnd"/>
      <w:r w:rsidRPr="003B2899">
        <w:rPr>
          <w:lang w:val="en-US" w:eastAsia="fr-FR"/>
        </w:rPr>
        <w:t xml:space="preserve"> , N. (2023). Vejez y discapacidad: ¿Igualdad o diferencia a efectos del derecho de los derechos humanos? </w:t>
      </w:r>
      <w:proofErr w:type="spellStart"/>
      <w:r w:rsidRPr="003B2899">
        <w:rPr>
          <w:i/>
          <w:iCs/>
          <w:lang w:eastAsia="fr-FR"/>
        </w:rPr>
        <w:t>Aequitas</w:t>
      </w:r>
      <w:proofErr w:type="spellEnd"/>
      <w:r w:rsidRPr="003B2899">
        <w:rPr>
          <w:i/>
          <w:iCs/>
          <w:lang w:eastAsia="fr-FR"/>
        </w:rPr>
        <w:t xml:space="preserve"> , 29 </w:t>
      </w:r>
      <w:r w:rsidRPr="003B2899">
        <w:rPr>
          <w:lang w:eastAsia="fr-FR"/>
        </w:rPr>
        <w:t xml:space="preserve">(2), 59–74. </w:t>
      </w:r>
      <w:hyperlink r:id="rId15" w:history="1">
        <w:r w:rsidR="00655B0F" w:rsidRPr="003B2899">
          <w:rPr>
            <w:rStyle w:val="Hipervnculo"/>
            <w:lang w:eastAsia="fr-FR"/>
          </w:rPr>
          <w:t xml:space="preserve">https://doi.org/10.7202/1108106ar </w:t>
        </w:r>
      </w:hyperlink>
      <w:r w:rsidR="00655B0F" w:rsidRPr="003B2899">
        <w:rPr>
          <w:lang w:eastAsia="fr-FR"/>
        </w:rPr>
        <w:t>.</w:t>
      </w:r>
    </w:p>
    <w:p w14:paraId="5F34B870" w14:textId="6576463E" w:rsidR="00655B0F" w:rsidRPr="003B2899" w:rsidRDefault="00655B0F" w:rsidP="005E1CF2">
      <w:pPr>
        <w:ind w:firstLine="709"/>
        <w:rPr>
          <w:lang w:val="en-US"/>
        </w:rPr>
      </w:pPr>
      <w:proofErr w:type="spellStart"/>
      <w:r w:rsidRPr="003B2899">
        <w:t>Guillemard</w:t>
      </w:r>
      <w:proofErr w:type="spellEnd"/>
      <w:r w:rsidRPr="003B2899">
        <w:t xml:space="preserve"> , A.-M., </w:t>
      </w:r>
      <w:proofErr w:type="spellStart"/>
      <w:r w:rsidRPr="003B2899">
        <w:t>Mascova</w:t>
      </w:r>
      <w:proofErr w:type="spellEnd"/>
      <w:r w:rsidRPr="003B2899">
        <w:t xml:space="preserve"> , E. ( </w:t>
      </w:r>
      <w:proofErr w:type="spellStart"/>
      <w:r w:rsidRPr="003B2899">
        <w:t>dir</w:t>
      </w:r>
      <w:proofErr w:type="spellEnd"/>
      <w:r w:rsidRPr="003B2899">
        <w:t xml:space="preserve"> .) (2017). </w:t>
      </w:r>
      <w:r w:rsidRPr="003B2899">
        <w:rPr>
          <w:i/>
          <w:iCs/>
        </w:rPr>
        <w:t xml:space="preserve">Allongement de la vie: Quels défis? </w:t>
      </w:r>
      <w:proofErr w:type="spellStart"/>
      <w:r w:rsidRPr="003B2899">
        <w:rPr>
          <w:i/>
          <w:iCs/>
          <w:lang w:val="en-US"/>
        </w:rPr>
        <w:t>Quelles</w:t>
      </w:r>
      <w:proofErr w:type="spellEnd"/>
      <w:r w:rsidRPr="003B2899">
        <w:rPr>
          <w:i/>
          <w:iCs/>
          <w:lang w:val="en-US"/>
        </w:rPr>
        <w:t xml:space="preserve"> ¿</w:t>
      </w:r>
      <w:proofErr w:type="spellStart"/>
      <w:r w:rsidRPr="003B2899">
        <w:rPr>
          <w:i/>
          <w:iCs/>
          <w:lang w:val="en-US"/>
        </w:rPr>
        <w:t>Políticas</w:t>
      </w:r>
      <w:proofErr w:type="spellEnd"/>
      <w:r w:rsidRPr="003B2899">
        <w:rPr>
          <w:i/>
          <w:iCs/>
          <w:lang w:val="en-US"/>
        </w:rPr>
        <w:t xml:space="preserve">? </w:t>
      </w:r>
      <w:r w:rsidRPr="003B2899">
        <w:rPr>
          <w:lang w:val="en-US"/>
        </w:rPr>
        <w:t xml:space="preserve">El </w:t>
      </w:r>
      <w:proofErr w:type="spellStart"/>
      <w:r w:rsidRPr="003B2899">
        <w:rPr>
          <w:lang w:val="en-US"/>
        </w:rPr>
        <w:t>Descubrimiento</w:t>
      </w:r>
      <w:proofErr w:type="spellEnd"/>
      <w:r w:rsidRPr="003B2899">
        <w:rPr>
          <w:lang w:val="en-US"/>
        </w:rPr>
        <w:t xml:space="preserve"> .</w:t>
      </w:r>
    </w:p>
    <w:p w14:paraId="35B2681E" w14:textId="2B07A43E" w:rsidR="00EB7723" w:rsidRPr="003B2899" w:rsidRDefault="00EB7723" w:rsidP="005E1CF2">
      <w:pPr>
        <w:spacing w:before="100" w:beforeAutospacing="1" w:after="100" w:afterAutospacing="1" w:line="276" w:lineRule="auto"/>
        <w:ind w:firstLine="709"/>
        <w:jc w:val="both"/>
        <w:rPr>
          <w:lang w:eastAsia="fr-FR"/>
        </w:rPr>
      </w:pPr>
      <w:r w:rsidRPr="003B2899">
        <w:rPr>
          <w:lang w:val="en-US" w:eastAsia="fr-FR"/>
        </w:rPr>
        <w:t xml:space="preserve">Habermas, J. (1989). </w:t>
      </w:r>
      <w:r w:rsidRPr="003B2899">
        <w:rPr>
          <w:i/>
          <w:iCs/>
          <w:lang w:val="en-US" w:eastAsia="fr-FR"/>
        </w:rPr>
        <w:t>La transformación estructural de la esfera pública: Una investigación sobre una categoría de la sociedad burguesa.</w:t>
      </w:r>
      <w:r w:rsidRPr="003B2899">
        <w:rPr>
          <w:lang w:val="en-US" w:eastAsia="fr-FR"/>
        </w:rPr>
        <w:t xml:space="preserve"> </w:t>
      </w:r>
      <w:r w:rsidRPr="003B2899">
        <w:rPr>
          <w:lang w:eastAsia="fr-FR"/>
        </w:rPr>
        <w:t>Prensa del MIT .</w:t>
      </w:r>
    </w:p>
    <w:p w14:paraId="18510A69" w14:textId="09998F83" w:rsidR="00EB7723" w:rsidRPr="003B2899" w:rsidRDefault="00EB7723" w:rsidP="005E1CF2">
      <w:pPr>
        <w:spacing w:before="100" w:beforeAutospacing="1" w:after="100" w:afterAutospacing="1" w:line="276" w:lineRule="auto"/>
        <w:ind w:firstLine="709"/>
        <w:jc w:val="both"/>
        <w:rPr>
          <w:lang w:eastAsia="fr-FR"/>
        </w:rPr>
      </w:pPr>
      <w:r w:rsidRPr="003B2899">
        <w:rPr>
          <w:lang w:eastAsia="fr-FR"/>
        </w:rPr>
        <w:t xml:space="preserve">Lagacé, M. ( </w:t>
      </w:r>
      <w:proofErr w:type="spellStart"/>
      <w:r w:rsidR="0011533A" w:rsidRPr="003B2899">
        <w:rPr>
          <w:lang w:eastAsia="fr-FR"/>
        </w:rPr>
        <w:t>Dir</w:t>
      </w:r>
      <w:proofErr w:type="spellEnd"/>
      <w:r w:rsidR="0011533A" w:rsidRPr="003B2899">
        <w:rPr>
          <w:lang w:eastAsia="fr-FR"/>
        </w:rPr>
        <w:t xml:space="preserve"> </w:t>
      </w:r>
      <w:r w:rsidRPr="003B2899">
        <w:rPr>
          <w:lang w:eastAsia="fr-FR"/>
        </w:rPr>
        <w:t xml:space="preserve">.). (2010). </w:t>
      </w:r>
      <w:r w:rsidRPr="003B2899">
        <w:rPr>
          <w:i/>
          <w:iCs/>
          <w:lang w:eastAsia="fr-FR"/>
        </w:rPr>
        <w:t xml:space="preserve">L'âgisme: comprendre et changer le respect social sur le vieillissement. </w:t>
      </w:r>
      <w:r w:rsidRPr="003B2899">
        <w:rPr>
          <w:lang w:eastAsia="fr-FR"/>
        </w:rPr>
        <w:t>Prensas de la Universidad de Laval.</w:t>
      </w:r>
    </w:p>
    <w:p w14:paraId="78092ADE" w14:textId="77777777" w:rsidR="00EB7723" w:rsidRPr="003B2899" w:rsidRDefault="00EB7723" w:rsidP="005E1CF2">
      <w:pPr>
        <w:spacing w:before="100" w:beforeAutospacing="1" w:after="100" w:afterAutospacing="1" w:line="276" w:lineRule="auto"/>
        <w:ind w:firstLine="709"/>
        <w:jc w:val="both"/>
        <w:rPr>
          <w:lang w:eastAsia="fr-FR"/>
        </w:rPr>
      </w:pPr>
      <w:r w:rsidRPr="003B2899">
        <w:rPr>
          <w:lang w:eastAsia="fr-FR"/>
        </w:rPr>
        <w:t xml:space="preserve">Lucas, B., Delessert, Y., </w:t>
      </w:r>
      <w:proofErr w:type="spellStart"/>
      <w:r w:rsidRPr="003B2899">
        <w:rPr>
          <w:lang w:eastAsia="fr-FR"/>
        </w:rPr>
        <w:t>Sgier</w:t>
      </w:r>
      <w:proofErr w:type="spellEnd"/>
      <w:r w:rsidRPr="003B2899">
        <w:rPr>
          <w:lang w:eastAsia="fr-FR"/>
        </w:rPr>
        <w:t xml:space="preserve"> , L. y </w:t>
      </w:r>
      <w:proofErr w:type="spellStart"/>
      <w:r w:rsidRPr="003B2899">
        <w:rPr>
          <w:lang w:eastAsia="fr-FR"/>
        </w:rPr>
        <w:t>Meigniez</w:t>
      </w:r>
      <w:proofErr w:type="spellEnd"/>
      <w:r w:rsidRPr="003B2899">
        <w:rPr>
          <w:lang w:eastAsia="fr-FR"/>
        </w:rPr>
        <w:t xml:space="preserve"> , M. (2022). Cuando el cumplimiento de los derechos se aplica a la ignorancia del derecho: se puede discrecionar y restringir el acceso al voto en los establecimientos para personas en Suiza romana. </w:t>
      </w:r>
      <w:r w:rsidRPr="003B2899">
        <w:rPr>
          <w:i/>
          <w:iCs/>
          <w:lang w:eastAsia="fr-FR"/>
        </w:rPr>
        <w:t xml:space="preserve">Retraite et société, 88 </w:t>
      </w:r>
      <w:r w:rsidRPr="003B2899">
        <w:rPr>
          <w:lang w:eastAsia="fr-FR"/>
        </w:rPr>
        <w:t>(1), 183-216. https://doi.org/10.3917/rs1.088.0184</w:t>
      </w:r>
    </w:p>
    <w:p w14:paraId="12BE86DB" w14:textId="47BEF99E" w:rsidR="00EB7723" w:rsidRPr="003B2899" w:rsidRDefault="00EB7723" w:rsidP="005E1CF2">
      <w:pPr>
        <w:spacing w:before="100" w:beforeAutospacing="1" w:after="100" w:afterAutospacing="1" w:line="276" w:lineRule="auto"/>
        <w:ind w:firstLine="709"/>
        <w:jc w:val="both"/>
        <w:rPr>
          <w:lang w:eastAsia="fr-FR"/>
        </w:rPr>
      </w:pPr>
      <w:r w:rsidRPr="003B2899">
        <w:rPr>
          <w:lang w:val="en-US" w:eastAsia="fr-FR"/>
        </w:rPr>
        <w:lastRenderedPageBreak/>
        <w:t xml:space="preserve">Mercat-Bruns, M., y Gründler , T. (2023). Personas mayores, discriminación y ciudadanía: ¿Qué perspectivas específicas se desprenden del derecho de la discapacidad a nivel nacional e internacional? </w:t>
      </w:r>
      <w:proofErr w:type="spellStart"/>
      <w:r w:rsidRPr="003B2899">
        <w:rPr>
          <w:i/>
          <w:iCs/>
          <w:lang w:eastAsia="fr-FR"/>
        </w:rPr>
        <w:t>Aequitas</w:t>
      </w:r>
      <w:proofErr w:type="spellEnd"/>
      <w:r w:rsidRPr="003B2899">
        <w:rPr>
          <w:i/>
          <w:iCs/>
          <w:lang w:eastAsia="fr-FR"/>
        </w:rPr>
        <w:t xml:space="preserve"> , 29 </w:t>
      </w:r>
      <w:r w:rsidRPr="003B2899">
        <w:rPr>
          <w:lang w:eastAsia="fr-FR"/>
        </w:rPr>
        <w:t>(2), 8–30.</w:t>
      </w:r>
    </w:p>
    <w:p w14:paraId="32482AF1" w14:textId="77777777" w:rsidR="00EB7723" w:rsidRPr="003B2899" w:rsidRDefault="00EB7723" w:rsidP="005E1CF2">
      <w:pPr>
        <w:spacing w:before="100" w:beforeAutospacing="1" w:after="100" w:afterAutospacing="1" w:line="276" w:lineRule="auto"/>
        <w:ind w:firstLine="709"/>
        <w:jc w:val="both"/>
        <w:rPr>
          <w:lang w:eastAsia="fr-FR"/>
        </w:rPr>
      </w:pPr>
      <w:proofErr w:type="spellStart"/>
      <w:r w:rsidRPr="003B2899">
        <w:rPr>
          <w:lang w:eastAsia="fr-FR"/>
        </w:rPr>
        <w:t>Mercat</w:t>
      </w:r>
      <w:proofErr w:type="spellEnd"/>
      <w:r w:rsidRPr="003B2899">
        <w:rPr>
          <w:lang w:eastAsia="fr-FR"/>
        </w:rPr>
        <w:t xml:space="preserve"> -</w:t>
      </w:r>
      <w:proofErr w:type="spellStart"/>
      <w:r w:rsidRPr="003B2899">
        <w:rPr>
          <w:lang w:eastAsia="fr-FR"/>
        </w:rPr>
        <w:t>Bruns</w:t>
      </w:r>
      <w:proofErr w:type="spellEnd"/>
      <w:r w:rsidRPr="003B2899">
        <w:rPr>
          <w:lang w:eastAsia="fr-FR"/>
        </w:rPr>
        <w:t xml:space="preserve">, M. (2020). Les rapports entre vieillissement et discriminacion en droit: una fertilización croisée utile sur le plan individual et colectiva. </w:t>
      </w:r>
      <w:r w:rsidRPr="003B2899">
        <w:rPr>
          <w:i/>
          <w:iCs/>
          <w:lang w:eastAsia="fr-FR"/>
        </w:rPr>
        <w:t>La Revue des droits de l'homme, 17.</w:t>
      </w:r>
    </w:p>
    <w:p w14:paraId="15A43FE9" w14:textId="77777777" w:rsidR="00EB7723" w:rsidRPr="003B2899" w:rsidRDefault="00EB7723" w:rsidP="005E1CF2">
      <w:pPr>
        <w:spacing w:before="100" w:beforeAutospacing="1" w:after="100" w:afterAutospacing="1" w:line="276" w:lineRule="auto"/>
        <w:ind w:firstLine="709"/>
        <w:jc w:val="both"/>
        <w:rPr>
          <w:lang w:val="en-US" w:eastAsia="fr-FR"/>
        </w:rPr>
      </w:pPr>
      <w:r w:rsidRPr="003B2899">
        <w:rPr>
          <w:lang w:eastAsia="fr-FR"/>
        </w:rPr>
        <w:t xml:space="preserve">Organización de los Estados Americanos (OEA). </w:t>
      </w:r>
      <w:r w:rsidRPr="003B2899">
        <w:rPr>
          <w:lang w:val="en-US" w:eastAsia="fr-FR"/>
        </w:rPr>
        <w:t xml:space="preserve">(2015). </w:t>
      </w:r>
      <w:r w:rsidRPr="003B2899">
        <w:rPr>
          <w:i/>
          <w:iCs/>
          <w:lang w:val="en-US" w:eastAsia="fr-FR"/>
        </w:rPr>
        <w:t xml:space="preserve">Convención Interamericana sobre la Protección de los Derechos Humanos de las Personas Mayores. </w:t>
      </w:r>
      <w:r w:rsidRPr="003B2899">
        <w:rPr>
          <w:lang w:val="en-US" w:eastAsia="fr-FR"/>
        </w:rPr>
        <w:t>https://www.oas.org/es/sla/dil/tratados_interamericanos_a-70_derechos_humanos_personas_mayores.asp</w:t>
      </w:r>
    </w:p>
    <w:p w14:paraId="593497BF" w14:textId="20B166D1" w:rsidR="00EB7723" w:rsidRPr="003B2899" w:rsidRDefault="00EB7723" w:rsidP="005E1CF2">
      <w:pPr>
        <w:spacing w:before="100" w:beforeAutospacing="1" w:after="100" w:afterAutospacing="1" w:line="276" w:lineRule="auto"/>
        <w:ind w:firstLine="709"/>
        <w:jc w:val="both"/>
        <w:rPr>
          <w:lang w:eastAsia="fr-FR"/>
        </w:rPr>
      </w:pPr>
      <w:proofErr w:type="spellStart"/>
      <w:r w:rsidRPr="003B2899">
        <w:rPr>
          <w:lang w:eastAsia="fr-FR"/>
        </w:rPr>
        <w:t>Sgier</w:t>
      </w:r>
      <w:proofErr w:type="spellEnd"/>
      <w:r w:rsidRPr="003B2899">
        <w:rPr>
          <w:lang w:eastAsia="fr-FR"/>
        </w:rPr>
        <w:t xml:space="preserve"> , L. y Lucas, B. (2018). Citoyenneté politique et reconnaissance dans la vieillesse dependiente. </w:t>
      </w:r>
      <w:r w:rsidRPr="003B2899">
        <w:rPr>
          <w:i/>
          <w:iCs/>
          <w:lang w:eastAsia="fr-FR"/>
        </w:rPr>
        <w:t xml:space="preserve">Gérontologie et société, 40 </w:t>
      </w:r>
      <w:r w:rsidRPr="003B2899">
        <w:rPr>
          <w:lang w:eastAsia="fr-FR"/>
        </w:rPr>
        <w:t>(157), págs. 151-164. https://doi.org/10.3917/gs1.157.0151</w:t>
      </w:r>
    </w:p>
    <w:p w14:paraId="4843CEB2" w14:textId="63233FF9" w:rsidR="001C4565" w:rsidRPr="003B2899" w:rsidRDefault="001C4565" w:rsidP="005E1CF2">
      <w:pPr>
        <w:spacing w:before="100" w:beforeAutospacing="1" w:after="100" w:afterAutospacing="1" w:line="276" w:lineRule="auto"/>
        <w:ind w:firstLine="709"/>
        <w:jc w:val="both"/>
      </w:pPr>
      <w:proofErr w:type="spellStart"/>
      <w:r w:rsidRPr="003B2899">
        <w:t>Sgier</w:t>
      </w:r>
      <w:proofErr w:type="spellEnd"/>
      <w:r w:rsidRPr="003B2899">
        <w:t xml:space="preserve"> , L. y Lucas, B. (2018). Citoyenneté politique et reconnaissance dans la vieillesse dependiente. </w:t>
      </w:r>
      <w:r w:rsidRPr="003B2899">
        <w:rPr>
          <w:i/>
          <w:iCs/>
        </w:rPr>
        <w:t xml:space="preserve">Gérontologie et société </w:t>
      </w:r>
      <w:r w:rsidRPr="003B2899">
        <w:t xml:space="preserve">, vol. 40 / n° 157(3), 151-164. </w:t>
      </w:r>
      <w:hyperlink r:id="rId16" w:history="1">
        <w:r w:rsidRPr="003B2899">
          <w:rPr>
            <w:rStyle w:val="Hipervnculo"/>
          </w:rPr>
          <w:t xml:space="preserve">https://doi.org/10.3917/gs1.157.0151 </w:t>
        </w:r>
      </w:hyperlink>
      <w:r w:rsidRPr="003B2899">
        <w:t>.</w:t>
      </w:r>
    </w:p>
    <w:p w14:paraId="51AE6CE0" w14:textId="6253E9F9" w:rsidR="00EB7723" w:rsidRPr="003B2899" w:rsidRDefault="00EB7723" w:rsidP="005E1CF2">
      <w:pPr>
        <w:spacing w:before="100" w:beforeAutospacing="1" w:after="100" w:afterAutospacing="1" w:line="276" w:lineRule="auto"/>
        <w:ind w:firstLine="709"/>
        <w:jc w:val="both"/>
        <w:rPr>
          <w:lang w:val="en-US" w:eastAsia="fr-FR"/>
        </w:rPr>
      </w:pPr>
      <w:r w:rsidRPr="003B2899">
        <w:rPr>
          <w:lang w:eastAsia="fr-FR"/>
        </w:rPr>
        <w:t xml:space="preserve">Scheider-Yilmaz, M., </w:t>
      </w:r>
      <w:proofErr w:type="spellStart"/>
      <w:r w:rsidRPr="003B2899">
        <w:rPr>
          <w:lang w:eastAsia="fr-FR"/>
        </w:rPr>
        <w:t>Viriot</w:t>
      </w:r>
      <w:proofErr w:type="spellEnd"/>
      <w:r w:rsidRPr="003B2899">
        <w:rPr>
          <w:lang w:eastAsia="fr-FR"/>
        </w:rPr>
        <w:t xml:space="preserve"> </w:t>
      </w:r>
      <w:proofErr w:type="spellStart"/>
      <w:r w:rsidRPr="003B2899">
        <w:rPr>
          <w:lang w:eastAsia="fr-FR"/>
        </w:rPr>
        <w:t>Durandal</w:t>
      </w:r>
      <w:proofErr w:type="spellEnd"/>
      <w:r w:rsidRPr="003B2899">
        <w:rPr>
          <w:lang w:eastAsia="fr-FR"/>
        </w:rPr>
        <w:t xml:space="preserve">, J.-P. y </w:t>
      </w:r>
      <w:proofErr w:type="spellStart"/>
      <w:r w:rsidRPr="003B2899">
        <w:rPr>
          <w:lang w:eastAsia="fr-FR"/>
        </w:rPr>
        <w:t>Fougeyrollas</w:t>
      </w:r>
      <w:proofErr w:type="spellEnd"/>
      <w:r w:rsidRPr="003B2899">
        <w:rPr>
          <w:lang w:eastAsia="fr-FR"/>
        </w:rPr>
        <w:t xml:space="preserve"> , P. (2023). Citoyenneté et droits humains: réflexions croisées entre le handicap et le vieillissement. </w:t>
      </w:r>
      <w:r w:rsidRPr="003B2899">
        <w:rPr>
          <w:i/>
          <w:iCs/>
          <w:lang w:val="en-US" w:eastAsia="fr-FR"/>
        </w:rPr>
        <w:t xml:space="preserve">Aequitas, 29 </w:t>
      </w:r>
      <w:r w:rsidRPr="003B2899">
        <w:rPr>
          <w:lang w:val="en-US" w:eastAsia="fr-FR"/>
        </w:rPr>
        <w:t>(2), 4–7. https://doi.org/10.7202/1108103ar</w:t>
      </w:r>
    </w:p>
    <w:p w14:paraId="2B93BC32" w14:textId="77777777" w:rsidR="00EB7723" w:rsidRPr="003B2899" w:rsidRDefault="00EB7723" w:rsidP="005E1CF2">
      <w:pPr>
        <w:spacing w:before="100" w:beforeAutospacing="1" w:after="100" w:afterAutospacing="1" w:line="276" w:lineRule="auto"/>
        <w:ind w:firstLine="709"/>
        <w:jc w:val="both"/>
        <w:rPr>
          <w:lang w:val="en-US" w:eastAsia="fr-FR"/>
        </w:rPr>
      </w:pPr>
      <w:r w:rsidRPr="003B2899">
        <w:rPr>
          <w:lang w:val="en-US" w:eastAsia="fr-FR"/>
        </w:rPr>
        <w:t xml:space="preserve">UNESCO. (1972). </w:t>
      </w:r>
      <w:r w:rsidRPr="003B2899">
        <w:rPr>
          <w:i/>
          <w:iCs/>
          <w:lang w:val="en-US" w:eastAsia="fr-FR"/>
        </w:rPr>
        <w:t>Aprender a ser: El mundo de la educación hoy y mañana.</w:t>
      </w:r>
    </w:p>
    <w:p w14:paraId="5DA79671" w14:textId="77777777" w:rsidR="00EB7723" w:rsidRPr="003B2899" w:rsidRDefault="00EB7723" w:rsidP="005E1CF2">
      <w:pPr>
        <w:spacing w:before="100" w:beforeAutospacing="1" w:after="100" w:afterAutospacing="1" w:line="276" w:lineRule="auto"/>
        <w:ind w:firstLine="709"/>
        <w:jc w:val="both"/>
        <w:rPr>
          <w:lang w:val="en-US" w:eastAsia="fr-FR"/>
        </w:rPr>
      </w:pPr>
      <w:r w:rsidRPr="003B2899">
        <w:rPr>
          <w:lang w:val="en-US" w:eastAsia="fr-FR"/>
        </w:rPr>
        <w:t xml:space="preserve">UNESCO. (2001). </w:t>
      </w:r>
      <w:r w:rsidRPr="003B2899">
        <w:rPr>
          <w:i/>
          <w:iCs/>
          <w:lang w:val="en-US" w:eastAsia="fr-FR"/>
        </w:rPr>
        <w:t>Declaración Universal sobre la Diversidad Cultural.</w:t>
      </w:r>
    </w:p>
    <w:p w14:paraId="01434372" w14:textId="77777777" w:rsidR="00EB7723" w:rsidRPr="003B2899" w:rsidRDefault="00EB7723" w:rsidP="005E1CF2">
      <w:pPr>
        <w:spacing w:before="100" w:beforeAutospacing="1" w:after="100" w:afterAutospacing="1" w:line="276" w:lineRule="auto"/>
        <w:ind w:firstLine="709"/>
        <w:jc w:val="both"/>
        <w:rPr>
          <w:lang w:val="en-US" w:eastAsia="fr-FR"/>
        </w:rPr>
      </w:pPr>
      <w:r w:rsidRPr="003B2899">
        <w:rPr>
          <w:lang w:val="en-US" w:eastAsia="fr-FR"/>
        </w:rPr>
        <w:t xml:space="preserve">UNESCO. (2015a). </w:t>
      </w:r>
      <w:r w:rsidRPr="003B2899">
        <w:rPr>
          <w:i/>
          <w:iCs/>
          <w:lang w:val="en-US" w:eastAsia="fr-FR"/>
        </w:rPr>
        <w:t>Marco para el diseño de políticas inclusivas.</w:t>
      </w:r>
    </w:p>
    <w:p w14:paraId="0C7F3074" w14:textId="77777777" w:rsidR="00EB7723" w:rsidRPr="003B2899" w:rsidRDefault="00EB7723" w:rsidP="005E1CF2">
      <w:pPr>
        <w:spacing w:before="100" w:beforeAutospacing="1" w:after="100" w:afterAutospacing="1" w:line="276" w:lineRule="auto"/>
        <w:ind w:firstLine="709"/>
        <w:jc w:val="both"/>
        <w:rPr>
          <w:lang w:eastAsia="fr-FR"/>
        </w:rPr>
      </w:pPr>
      <w:r w:rsidRPr="003B2899">
        <w:rPr>
          <w:lang w:val="en-US" w:eastAsia="fr-FR"/>
        </w:rPr>
        <w:t xml:space="preserve">UNESCO. (2015b). </w:t>
      </w:r>
      <w:r w:rsidRPr="003B2899">
        <w:rPr>
          <w:i/>
          <w:iCs/>
          <w:lang w:val="en-US" w:eastAsia="fr-FR"/>
        </w:rPr>
        <w:t>Recomendación sobre el aprendizaje y la educación de adultos.</w:t>
      </w:r>
      <w:r w:rsidRPr="003B2899">
        <w:rPr>
          <w:lang w:val="en-US" w:eastAsia="fr-FR"/>
        </w:rPr>
        <w:t xml:space="preserve"> </w:t>
      </w:r>
      <w:r w:rsidRPr="003B2899">
        <w:rPr>
          <w:lang w:eastAsia="fr-FR"/>
        </w:rPr>
        <w:t>Instituto de la UNESCO para el aprendizaje de toda la vida.</w:t>
      </w:r>
    </w:p>
    <w:p w14:paraId="067282ED" w14:textId="77777777" w:rsidR="00EB7723" w:rsidRPr="003B2899" w:rsidRDefault="00EB7723" w:rsidP="005E1CF2">
      <w:pPr>
        <w:spacing w:before="100" w:beforeAutospacing="1" w:after="100" w:afterAutospacing="1" w:line="276" w:lineRule="auto"/>
        <w:ind w:firstLine="709"/>
        <w:jc w:val="both"/>
        <w:rPr>
          <w:lang w:val="en-US" w:eastAsia="fr-FR"/>
        </w:rPr>
      </w:pPr>
      <w:r w:rsidRPr="003B2899">
        <w:rPr>
          <w:lang w:val="en-US" w:eastAsia="fr-FR"/>
        </w:rPr>
        <w:t xml:space="preserve">UNESCO. (2015c). </w:t>
      </w:r>
      <w:r w:rsidRPr="003B2899">
        <w:rPr>
          <w:i/>
          <w:iCs/>
          <w:lang w:val="en-US" w:eastAsia="fr-FR"/>
        </w:rPr>
        <w:t>Red Mundial de Ciudades del Aprendizaje.</w:t>
      </w:r>
    </w:p>
    <w:p w14:paraId="7215603A" w14:textId="77777777" w:rsidR="00EB7723" w:rsidRPr="003B2899" w:rsidRDefault="00EB7723" w:rsidP="005E1CF2">
      <w:pPr>
        <w:spacing w:before="100" w:beforeAutospacing="1" w:after="100" w:afterAutospacing="1" w:line="276" w:lineRule="auto"/>
        <w:ind w:firstLine="709"/>
        <w:jc w:val="both"/>
        <w:rPr>
          <w:lang w:val="en-US" w:eastAsia="fr-FR"/>
        </w:rPr>
      </w:pPr>
      <w:r w:rsidRPr="003B2899">
        <w:rPr>
          <w:lang w:val="en-US" w:eastAsia="fr-FR"/>
        </w:rPr>
        <w:t xml:space="preserve">UNESCO. (2017). </w:t>
      </w:r>
      <w:r w:rsidRPr="003B2899">
        <w:rPr>
          <w:i/>
          <w:iCs/>
          <w:lang w:val="en-US" w:eastAsia="fr-FR"/>
        </w:rPr>
        <w:t>Cuarto Informe Mundial sobre el Aprendizaje y la Educación de Adultos: No dejar a nadie atrás: Participación, equidad e inclusión.</w:t>
      </w:r>
    </w:p>
    <w:p w14:paraId="39197404" w14:textId="77777777" w:rsidR="00EB7723" w:rsidRPr="003B2899" w:rsidRDefault="00EB7723" w:rsidP="005E1CF2">
      <w:pPr>
        <w:spacing w:before="100" w:beforeAutospacing="1" w:after="100" w:afterAutospacing="1" w:line="276" w:lineRule="auto"/>
        <w:ind w:firstLine="709"/>
        <w:jc w:val="both"/>
        <w:rPr>
          <w:lang w:val="en-US" w:eastAsia="fr-FR"/>
        </w:rPr>
      </w:pPr>
      <w:r w:rsidRPr="003B2899">
        <w:rPr>
          <w:lang w:val="en-US" w:eastAsia="fr-FR"/>
        </w:rPr>
        <w:t xml:space="preserve">UNESCO. (2020). </w:t>
      </w:r>
      <w:r w:rsidRPr="003B2899">
        <w:rPr>
          <w:i/>
          <w:iCs/>
          <w:lang w:val="en-US" w:eastAsia="fr-FR"/>
        </w:rPr>
        <w:t>Liberar el potencial del aprendizaje familiar e intergeneracional.</w:t>
      </w:r>
    </w:p>
    <w:p w14:paraId="20847EB8" w14:textId="77777777" w:rsidR="00EB7723" w:rsidRPr="003B2899" w:rsidRDefault="00EB7723" w:rsidP="005E1CF2">
      <w:pPr>
        <w:spacing w:before="100" w:beforeAutospacing="1" w:after="100" w:afterAutospacing="1" w:line="276" w:lineRule="auto"/>
        <w:ind w:firstLine="709"/>
        <w:jc w:val="both"/>
        <w:rPr>
          <w:lang w:val="en-US" w:eastAsia="fr-FR"/>
        </w:rPr>
      </w:pPr>
      <w:r w:rsidRPr="003B2899">
        <w:rPr>
          <w:lang w:val="en-US" w:eastAsia="fr-FR"/>
        </w:rPr>
        <w:t xml:space="preserve">Naciones Unidas. (1991). </w:t>
      </w:r>
      <w:r w:rsidRPr="003B2899">
        <w:rPr>
          <w:i/>
          <w:iCs/>
          <w:lang w:val="en-US" w:eastAsia="fr-FR"/>
        </w:rPr>
        <w:t>Principios de las Naciones Unidas en favor de las Personas de Edad.</w:t>
      </w:r>
    </w:p>
    <w:p w14:paraId="15FE1457" w14:textId="77777777" w:rsidR="00EB7723" w:rsidRPr="003B2899" w:rsidRDefault="00EB7723" w:rsidP="005E1CF2">
      <w:pPr>
        <w:spacing w:before="100" w:beforeAutospacing="1" w:after="100" w:afterAutospacing="1" w:line="276" w:lineRule="auto"/>
        <w:ind w:firstLine="709"/>
        <w:jc w:val="both"/>
        <w:rPr>
          <w:lang w:val="en-US" w:eastAsia="fr-FR"/>
        </w:rPr>
      </w:pPr>
      <w:r w:rsidRPr="003B2899">
        <w:rPr>
          <w:lang w:val="en-US" w:eastAsia="fr-FR"/>
        </w:rPr>
        <w:lastRenderedPageBreak/>
        <w:t xml:space="preserve">Naciones Unidas. (2002). </w:t>
      </w:r>
      <w:r w:rsidRPr="003B2899">
        <w:rPr>
          <w:i/>
          <w:iCs/>
          <w:lang w:val="en-US" w:eastAsia="fr-FR"/>
        </w:rPr>
        <w:t>Plan de Acción Internacional de Madrid sobre el Envejecimiento.</w:t>
      </w:r>
    </w:p>
    <w:p w14:paraId="4F5F099F" w14:textId="77777777" w:rsidR="00EB7723" w:rsidRPr="003B2899" w:rsidRDefault="00EB7723" w:rsidP="005E1CF2">
      <w:pPr>
        <w:spacing w:before="100" w:beforeAutospacing="1" w:after="100" w:afterAutospacing="1" w:line="276" w:lineRule="auto"/>
        <w:ind w:firstLine="709"/>
        <w:jc w:val="both"/>
        <w:rPr>
          <w:lang w:val="en-US" w:eastAsia="fr-FR"/>
        </w:rPr>
      </w:pPr>
      <w:r w:rsidRPr="003B2899">
        <w:rPr>
          <w:lang w:val="en-US" w:eastAsia="fr-FR"/>
        </w:rPr>
        <w:t xml:space="preserve">Naciones Unidas. (2015). </w:t>
      </w:r>
      <w:r w:rsidRPr="003B2899">
        <w:rPr>
          <w:i/>
          <w:iCs/>
          <w:lang w:val="en-US" w:eastAsia="fr-FR"/>
        </w:rPr>
        <w:t>Transformar nuestro mundo: La Agenda 2030 para el Desarrollo Sostenible.</w:t>
      </w:r>
    </w:p>
    <w:p w14:paraId="0C010590" w14:textId="77777777" w:rsidR="00EB7723" w:rsidRPr="003B2899" w:rsidRDefault="00EB7723" w:rsidP="005E1CF2">
      <w:pPr>
        <w:spacing w:before="100" w:beforeAutospacing="1" w:after="100" w:afterAutospacing="1" w:line="276" w:lineRule="auto"/>
        <w:ind w:firstLine="709"/>
        <w:jc w:val="both"/>
        <w:rPr>
          <w:lang w:val="en-US" w:eastAsia="fr-FR"/>
        </w:rPr>
      </w:pPr>
      <w:r w:rsidRPr="003B2899">
        <w:rPr>
          <w:lang w:val="en-US" w:eastAsia="fr-FR"/>
        </w:rPr>
        <w:t xml:space="preserve">Naciones Unidas. (2021). </w:t>
      </w:r>
      <w:r w:rsidRPr="003B2899">
        <w:rPr>
          <w:i/>
          <w:iCs/>
          <w:lang w:val="en-US" w:eastAsia="fr-FR"/>
        </w:rPr>
        <w:t>Perspectivas de la población mundial 2021.</w:t>
      </w:r>
    </w:p>
    <w:p w14:paraId="1E3F0EE6" w14:textId="77777777" w:rsidR="00EB7723" w:rsidRPr="003B2899" w:rsidRDefault="00EB7723" w:rsidP="005E1CF2">
      <w:pPr>
        <w:spacing w:before="100" w:beforeAutospacing="1" w:after="100" w:afterAutospacing="1" w:line="276" w:lineRule="auto"/>
        <w:ind w:firstLine="709"/>
        <w:jc w:val="both"/>
        <w:rPr>
          <w:lang w:val="en-US" w:eastAsia="fr-FR"/>
        </w:rPr>
      </w:pPr>
      <w:r w:rsidRPr="003B2899">
        <w:rPr>
          <w:lang w:val="en-US" w:eastAsia="fr-FR"/>
        </w:rPr>
        <w:t xml:space="preserve">Comisión Económica de las Naciones Unidas para América Latina y el Caribe (CEPAL). (2022). </w:t>
      </w:r>
      <w:r w:rsidRPr="003B2899">
        <w:rPr>
          <w:i/>
          <w:iCs/>
          <w:lang w:val="en-US" w:eastAsia="fr-FR"/>
        </w:rPr>
        <w:t>Informe de la Secretaría sobre la Implementación de la Carta de San José.</w:t>
      </w:r>
      <w:r w:rsidRPr="003B2899">
        <w:rPr>
          <w:lang w:val="en-US" w:eastAsia="fr-FR"/>
        </w:rPr>
        <w:t xml:space="preserve"> https://conferenciaenvejecimiento.cepal.org/4/sites/envejecimiento4/files/declaracion_francis_jones.pdf</w:t>
      </w:r>
    </w:p>
    <w:p w14:paraId="742B601F" w14:textId="77777777" w:rsidR="00EB7723" w:rsidRPr="003B2899" w:rsidRDefault="00EB7723" w:rsidP="005E1CF2">
      <w:pPr>
        <w:spacing w:before="100" w:beforeAutospacing="1" w:after="100" w:afterAutospacing="1" w:line="276" w:lineRule="auto"/>
        <w:ind w:firstLine="709"/>
        <w:jc w:val="both"/>
        <w:rPr>
          <w:lang w:val="en-US" w:eastAsia="fr-FR"/>
        </w:rPr>
      </w:pPr>
      <w:r w:rsidRPr="003B2899">
        <w:rPr>
          <w:lang w:val="en-US" w:eastAsia="fr-FR"/>
        </w:rPr>
        <w:t xml:space="preserve">Asamblea General de las Naciones Unidas. (1979). </w:t>
      </w:r>
      <w:r w:rsidRPr="003B2899">
        <w:rPr>
          <w:i/>
          <w:iCs/>
          <w:lang w:val="en-US" w:eastAsia="fr-FR"/>
        </w:rPr>
        <w:t>Convención sobre la eliminación de todas las formas de discriminación contra la mujer (CEDAW).</w:t>
      </w:r>
      <w:r w:rsidRPr="003B2899">
        <w:rPr>
          <w:lang w:val="en-US" w:eastAsia="fr-FR"/>
        </w:rPr>
        <w:t xml:space="preserve"> </w:t>
      </w:r>
      <w:r w:rsidRPr="003B2899">
        <w:rPr>
          <w:i/>
          <w:iCs/>
          <w:lang w:val="en-US" w:eastAsia="fr-FR"/>
        </w:rPr>
        <w:t xml:space="preserve">Serie de Tratados de las Naciones Unidas, 1249 </w:t>
      </w:r>
      <w:r w:rsidRPr="003B2899">
        <w:rPr>
          <w:lang w:val="en-US" w:eastAsia="fr-FR"/>
        </w:rPr>
        <w:t>, 13. https://www.ohchr.org/es/instruments-mechanisms/instruments/convention-elimination-all-forms-discrimination-against-women</w:t>
      </w:r>
    </w:p>
    <w:p w14:paraId="3F138BE9" w14:textId="77777777" w:rsidR="00EB7723" w:rsidRPr="003B2899" w:rsidRDefault="00EB7723" w:rsidP="005E1CF2">
      <w:pPr>
        <w:spacing w:before="100" w:beforeAutospacing="1" w:after="100" w:afterAutospacing="1" w:line="276" w:lineRule="auto"/>
        <w:ind w:firstLine="709"/>
        <w:jc w:val="both"/>
        <w:rPr>
          <w:lang w:val="en-US" w:eastAsia="fr-FR"/>
        </w:rPr>
      </w:pPr>
      <w:r w:rsidRPr="003B2899">
        <w:rPr>
          <w:lang w:val="en-US" w:eastAsia="fr-FR"/>
        </w:rPr>
        <w:t xml:space="preserve">Asamblea General de las Naciones Unidas. (1989). </w:t>
      </w:r>
      <w:r w:rsidRPr="003B2899">
        <w:rPr>
          <w:i/>
          <w:iCs/>
          <w:lang w:val="en-US" w:eastAsia="fr-FR"/>
        </w:rPr>
        <w:t>Convención sobre los Derechos del Niño (CDN).</w:t>
      </w:r>
      <w:r w:rsidRPr="003B2899">
        <w:rPr>
          <w:lang w:val="en-US" w:eastAsia="fr-FR"/>
        </w:rPr>
        <w:t xml:space="preserve"> </w:t>
      </w:r>
      <w:r w:rsidRPr="003B2899">
        <w:rPr>
          <w:i/>
          <w:iCs/>
          <w:lang w:val="en-US" w:eastAsia="fr-FR"/>
        </w:rPr>
        <w:t xml:space="preserve">Serie de Tratados de las Naciones Unidas, 1577 </w:t>
      </w:r>
      <w:r w:rsidRPr="003B2899">
        <w:rPr>
          <w:lang w:val="en-US" w:eastAsia="fr-FR"/>
        </w:rPr>
        <w:t>, 3. https://www.ohchr.org/es/instruments-mechanisms/instruments/convention-rights-child</w:t>
      </w:r>
    </w:p>
    <w:p w14:paraId="6BEB2CDA" w14:textId="77777777" w:rsidR="00EB7723" w:rsidRPr="003B2899" w:rsidRDefault="00EB7723" w:rsidP="005E1CF2">
      <w:pPr>
        <w:spacing w:before="100" w:beforeAutospacing="1" w:after="100" w:afterAutospacing="1" w:line="276" w:lineRule="auto"/>
        <w:ind w:firstLine="709"/>
        <w:jc w:val="both"/>
        <w:rPr>
          <w:lang w:val="en-US" w:eastAsia="fr-FR"/>
        </w:rPr>
      </w:pPr>
      <w:r w:rsidRPr="003B2899">
        <w:rPr>
          <w:lang w:val="en-US" w:eastAsia="fr-FR"/>
        </w:rPr>
        <w:t xml:space="preserve">Asamblea General de las Naciones Unidas. (1990). </w:t>
      </w:r>
      <w:r w:rsidRPr="003B2899">
        <w:rPr>
          <w:i/>
          <w:iCs/>
          <w:lang w:val="en-US" w:eastAsia="fr-FR"/>
        </w:rPr>
        <w:t>Convención Internacional sobre la protección de los derechos de todos los trabajadores migratorios y de sus familiares (CIMW).</w:t>
      </w:r>
      <w:r w:rsidRPr="003B2899">
        <w:rPr>
          <w:lang w:val="en-US" w:eastAsia="fr-FR"/>
        </w:rPr>
        <w:t xml:space="preserve"> </w:t>
      </w:r>
      <w:r w:rsidRPr="003B2899">
        <w:rPr>
          <w:i/>
          <w:iCs/>
          <w:lang w:val="en-US" w:eastAsia="fr-FR"/>
        </w:rPr>
        <w:t xml:space="preserve">Serie de Tratados de las Naciones Unidas, 2220 </w:t>
      </w:r>
      <w:r w:rsidRPr="003B2899">
        <w:rPr>
          <w:lang w:val="en-US" w:eastAsia="fr-FR"/>
        </w:rPr>
        <w:t>, 3. https://www.ohchr.org/es/instruments-mechanisms/instruments/international-convention-protection-rights-all-migrant-workers</w:t>
      </w:r>
    </w:p>
    <w:p w14:paraId="3824A4C7" w14:textId="0FC30855" w:rsidR="00EB7723" w:rsidRPr="003B2899" w:rsidRDefault="00EB7723" w:rsidP="005E1CF2">
      <w:pPr>
        <w:spacing w:before="100" w:beforeAutospacing="1" w:after="100" w:afterAutospacing="1" w:line="276" w:lineRule="auto"/>
        <w:ind w:firstLine="709"/>
        <w:jc w:val="both"/>
        <w:rPr>
          <w:lang w:val="en-US" w:eastAsia="fr-FR"/>
        </w:rPr>
      </w:pPr>
      <w:r w:rsidRPr="003B2899">
        <w:rPr>
          <w:lang w:val="en-US" w:eastAsia="fr-FR"/>
        </w:rPr>
        <w:t xml:space="preserve">Asamblea General de las Naciones Unidas. (2006). </w:t>
      </w:r>
      <w:r w:rsidRPr="003B2899">
        <w:rPr>
          <w:i/>
          <w:iCs/>
          <w:lang w:val="en-US" w:eastAsia="fr-FR"/>
        </w:rPr>
        <w:t>Convención sobre los Derechos de las Personas con Discapacidad (CDPD).</w:t>
      </w:r>
      <w:r w:rsidRPr="003B2899">
        <w:rPr>
          <w:lang w:val="en-US" w:eastAsia="fr-FR"/>
        </w:rPr>
        <w:t xml:space="preserve"> </w:t>
      </w:r>
      <w:r w:rsidRPr="003B2899">
        <w:rPr>
          <w:i/>
          <w:iCs/>
          <w:lang w:val="en-US" w:eastAsia="fr-FR"/>
        </w:rPr>
        <w:t xml:space="preserve">Serie de Tratados de las Naciones Unidas, 2515 </w:t>
      </w:r>
      <w:r w:rsidRPr="003B2899">
        <w:rPr>
          <w:lang w:val="en-US" w:eastAsia="fr-FR"/>
        </w:rPr>
        <w:t xml:space="preserve">, 3. </w:t>
      </w:r>
      <w:hyperlink r:id="rId17" w:history="1">
        <w:r w:rsidR="00DA531D" w:rsidRPr="003B2899">
          <w:rPr>
            <w:rStyle w:val="Hipervnculo"/>
            <w:lang w:val="en-US" w:eastAsia="fr-FR"/>
          </w:rPr>
          <w:t>https://www.ohchr.org/es/instruments-mechanisms/instruments/convention-rights-persons-disabilities</w:t>
        </w:r>
      </w:hyperlink>
    </w:p>
    <w:p w14:paraId="04FEE67F" w14:textId="01BC69CF" w:rsidR="008E332A" w:rsidRPr="003B2899" w:rsidRDefault="008E332A" w:rsidP="005E1CF2">
      <w:pPr>
        <w:spacing w:before="100" w:beforeAutospacing="1" w:after="100" w:afterAutospacing="1"/>
        <w:ind w:firstLine="709"/>
        <w:jc w:val="both"/>
        <w:rPr>
          <w:lang w:eastAsia="fr-FR"/>
        </w:rPr>
      </w:pPr>
      <w:proofErr w:type="spellStart"/>
      <w:r w:rsidRPr="003B2899">
        <w:rPr>
          <w:lang w:val="en-US" w:eastAsia="fr-FR"/>
        </w:rPr>
        <w:t>Viriot</w:t>
      </w:r>
      <w:proofErr w:type="spellEnd"/>
      <w:r w:rsidRPr="003B2899">
        <w:rPr>
          <w:lang w:val="en-US" w:eastAsia="fr-FR"/>
        </w:rPr>
        <w:t xml:space="preserve"> Durandal, J.-P., </w:t>
      </w:r>
      <w:proofErr w:type="spellStart"/>
      <w:r w:rsidRPr="003B2899">
        <w:rPr>
          <w:lang w:val="en-US" w:eastAsia="fr-FR"/>
        </w:rPr>
        <w:t>Moulaert</w:t>
      </w:r>
      <w:proofErr w:type="spellEnd"/>
      <w:r w:rsidRPr="003B2899">
        <w:rPr>
          <w:lang w:val="en-US" w:eastAsia="fr-FR"/>
        </w:rPr>
        <w:t xml:space="preserve"> , T. y Scheider-Yilmaz, M. (Eds.). (2024). </w:t>
      </w:r>
      <w:r w:rsidRPr="003B2899">
        <w:rPr>
          <w:i/>
          <w:iCs/>
          <w:lang w:val="en-US" w:eastAsia="fr-FR"/>
        </w:rPr>
        <w:t xml:space="preserve">Envejecimiento en comunidades y territorios </w:t>
      </w:r>
      <w:r w:rsidRPr="003B2899">
        <w:rPr>
          <w:lang w:val="en-US" w:eastAsia="fr-FR"/>
        </w:rPr>
        <w:t xml:space="preserve">. </w:t>
      </w:r>
      <w:r w:rsidRPr="003B2899">
        <w:rPr>
          <w:i/>
          <w:iCs/>
          <w:lang w:eastAsia="fr-FR"/>
        </w:rPr>
        <w:t xml:space="preserve">Retraite et société, 2024/HS1 </w:t>
      </w:r>
      <w:r w:rsidRPr="003B2899">
        <w:rPr>
          <w:lang w:eastAsia="fr-FR"/>
        </w:rPr>
        <w:t>(N° Hors-série). Caisse nationale d'assurance vieillesse.</w:t>
      </w:r>
    </w:p>
    <w:p w14:paraId="3433E578" w14:textId="2EE46E57" w:rsidR="008E332A" w:rsidRPr="003B2899" w:rsidRDefault="008E332A" w:rsidP="005E1CF2">
      <w:pPr>
        <w:spacing w:before="100" w:beforeAutospacing="1" w:after="100" w:afterAutospacing="1"/>
        <w:ind w:firstLine="709"/>
        <w:jc w:val="both"/>
        <w:rPr>
          <w:lang w:eastAsia="fr-FR"/>
        </w:rPr>
      </w:pPr>
      <w:proofErr w:type="spellStart"/>
      <w:r w:rsidRPr="003B2899">
        <w:rPr>
          <w:lang w:eastAsia="fr-FR"/>
        </w:rPr>
        <w:t>Viriot</w:t>
      </w:r>
      <w:proofErr w:type="spellEnd"/>
      <w:r w:rsidRPr="003B2899">
        <w:rPr>
          <w:lang w:eastAsia="fr-FR"/>
        </w:rPr>
        <w:t xml:space="preserve"> </w:t>
      </w:r>
      <w:proofErr w:type="spellStart"/>
      <w:r w:rsidRPr="003B2899">
        <w:rPr>
          <w:lang w:eastAsia="fr-FR"/>
        </w:rPr>
        <w:t>Durandal</w:t>
      </w:r>
      <w:proofErr w:type="spellEnd"/>
      <w:r w:rsidRPr="003B2899">
        <w:rPr>
          <w:lang w:eastAsia="fr-FR"/>
        </w:rPr>
        <w:t xml:space="preserve">, J.-P., Raymond, É., </w:t>
      </w:r>
      <w:proofErr w:type="spellStart"/>
      <w:r w:rsidRPr="003B2899">
        <w:rPr>
          <w:lang w:eastAsia="fr-FR"/>
        </w:rPr>
        <w:t>Moulaert</w:t>
      </w:r>
      <w:proofErr w:type="spellEnd"/>
      <w:r w:rsidRPr="003B2899">
        <w:rPr>
          <w:lang w:eastAsia="fr-FR"/>
        </w:rPr>
        <w:t xml:space="preserve"> , T. y Charpentier, M. ( </w:t>
      </w:r>
      <w:proofErr w:type="spellStart"/>
      <w:r w:rsidRPr="003B2899">
        <w:rPr>
          <w:lang w:eastAsia="fr-FR"/>
        </w:rPr>
        <w:t>Dirs</w:t>
      </w:r>
      <w:proofErr w:type="spellEnd"/>
      <w:r w:rsidRPr="003B2899">
        <w:rPr>
          <w:lang w:eastAsia="fr-FR"/>
        </w:rPr>
        <w:t xml:space="preserve"> .). (2015). </w:t>
      </w:r>
      <w:r w:rsidRPr="003B2899">
        <w:rPr>
          <w:i/>
          <w:iCs/>
          <w:lang w:eastAsia="fr-FR"/>
        </w:rPr>
        <w:t xml:space="preserve">Droits de vieillir et citoyenneté des aînés. Para una perspectiva internacional </w:t>
      </w:r>
      <w:r w:rsidRPr="003B2899">
        <w:rPr>
          <w:lang w:eastAsia="fr-FR"/>
        </w:rPr>
        <w:t>. Prensas de la Universidad de Québec (PUQ).</w:t>
      </w:r>
    </w:p>
    <w:p w14:paraId="10D60D25" w14:textId="77777777" w:rsidR="00DA531D" w:rsidRPr="003B2899" w:rsidRDefault="00DA531D" w:rsidP="005E1CF2">
      <w:pPr>
        <w:spacing w:before="100" w:beforeAutospacing="1" w:after="100" w:afterAutospacing="1"/>
        <w:ind w:firstLine="709"/>
        <w:jc w:val="both"/>
        <w:rPr>
          <w:lang w:eastAsia="fr-FR"/>
        </w:rPr>
      </w:pPr>
      <w:proofErr w:type="spellStart"/>
      <w:r w:rsidRPr="003B2899">
        <w:rPr>
          <w:lang w:eastAsia="fr-FR"/>
        </w:rPr>
        <w:t>Viriot</w:t>
      </w:r>
      <w:proofErr w:type="spellEnd"/>
      <w:r w:rsidRPr="003B2899">
        <w:rPr>
          <w:lang w:eastAsia="fr-FR"/>
        </w:rPr>
        <w:t xml:space="preserve"> </w:t>
      </w:r>
      <w:proofErr w:type="spellStart"/>
      <w:r w:rsidRPr="003B2899">
        <w:rPr>
          <w:lang w:eastAsia="fr-FR"/>
        </w:rPr>
        <w:t>Durandal</w:t>
      </w:r>
      <w:proofErr w:type="spellEnd"/>
      <w:r w:rsidRPr="003B2899">
        <w:rPr>
          <w:lang w:eastAsia="fr-FR"/>
        </w:rPr>
        <w:t xml:space="preserve">, J.-P. (2012). Le pouvoir gris: Du lobbying au pouvoir sur soi. </w:t>
      </w:r>
      <w:r w:rsidRPr="003B2899">
        <w:rPr>
          <w:i/>
          <w:iCs/>
          <w:lang w:eastAsia="fr-FR"/>
        </w:rPr>
        <w:t xml:space="preserve">Gérontologie et société, 143 </w:t>
      </w:r>
      <w:r w:rsidRPr="003B2899">
        <w:rPr>
          <w:lang w:eastAsia="fr-FR"/>
        </w:rPr>
        <w:t>, 23-38.</w:t>
      </w:r>
    </w:p>
    <w:p w14:paraId="007D8473" w14:textId="0C69C55E" w:rsidR="008E332A" w:rsidRPr="003B2899" w:rsidRDefault="008E332A" w:rsidP="005E1CF2">
      <w:pPr>
        <w:spacing w:before="100" w:beforeAutospacing="1" w:after="100" w:afterAutospacing="1"/>
        <w:ind w:firstLine="709"/>
        <w:jc w:val="both"/>
        <w:rPr>
          <w:lang w:eastAsia="fr-FR"/>
        </w:rPr>
      </w:pPr>
      <w:proofErr w:type="spellStart"/>
      <w:r w:rsidRPr="003B2899">
        <w:rPr>
          <w:lang w:eastAsia="fr-FR"/>
        </w:rPr>
        <w:lastRenderedPageBreak/>
        <w:t>Viriot</w:t>
      </w:r>
      <w:proofErr w:type="spellEnd"/>
      <w:r w:rsidRPr="003B2899">
        <w:rPr>
          <w:lang w:eastAsia="fr-FR"/>
        </w:rPr>
        <w:t xml:space="preserve"> </w:t>
      </w:r>
      <w:proofErr w:type="spellStart"/>
      <w:r w:rsidRPr="003B2899">
        <w:rPr>
          <w:lang w:eastAsia="fr-FR"/>
        </w:rPr>
        <w:t>Durandal</w:t>
      </w:r>
      <w:proofErr w:type="spellEnd"/>
      <w:r w:rsidRPr="003B2899">
        <w:rPr>
          <w:lang w:eastAsia="fr-FR"/>
        </w:rPr>
        <w:t xml:space="preserve">, J.-P. (2007). Le Lobby gris aux États-Unis: un actor polimorfo. Nuevas perspectivas sobre los grupos de presión de retiros. </w:t>
      </w:r>
      <w:r w:rsidRPr="003B2899">
        <w:rPr>
          <w:i/>
          <w:iCs/>
          <w:lang w:eastAsia="fr-FR"/>
        </w:rPr>
        <w:t xml:space="preserve">Gérontologie et société, 120 </w:t>
      </w:r>
      <w:r w:rsidRPr="003B2899">
        <w:rPr>
          <w:lang w:eastAsia="fr-FR"/>
        </w:rPr>
        <w:t>, 167-186.</w:t>
      </w:r>
    </w:p>
    <w:p w14:paraId="6DA2B808" w14:textId="50C55EBF" w:rsidR="00DA531D" w:rsidRPr="003B2899" w:rsidRDefault="00DA531D" w:rsidP="005E1CF2">
      <w:pPr>
        <w:spacing w:before="100" w:beforeAutospacing="1" w:after="100" w:afterAutospacing="1"/>
        <w:ind w:firstLine="709"/>
        <w:jc w:val="both"/>
        <w:rPr>
          <w:lang w:eastAsia="fr-FR"/>
        </w:rPr>
      </w:pPr>
      <w:proofErr w:type="spellStart"/>
      <w:r w:rsidRPr="003B2899">
        <w:rPr>
          <w:lang w:eastAsia="fr-FR"/>
        </w:rPr>
        <w:t>Viriot</w:t>
      </w:r>
      <w:proofErr w:type="spellEnd"/>
      <w:r w:rsidRPr="003B2899">
        <w:rPr>
          <w:lang w:eastAsia="fr-FR"/>
        </w:rPr>
        <w:t xml:space="preserve"> </w:t>
      </w:r>
      <w:proofErr w:type="spellStart"/>
      <w:r w:rsidRPr="003B2899">
        <w:rPr>
          <w:lang w:eastAsia="fr-FR"/>
        </w:rPr>
        <w:t>Durandal</w:t>
      </w:r>
      <w:proofErr w:type="spellEnd"/>
      <w:r w:rsidRPr="003B2899">
        <w:rPr>
          <w:lang w:eastAsia="fr-FR"/>
        </w:rPr>
        <w:t xml:space="preserve">, J.-P. (2003). </w:t>
      </w:r>
      <w:r w:rsidRPr="003B2899">
        <w:rPr>
          <w:i/>
          <w:iCs/>
          <w:lang w:eastAsia="fr-FR"/>
        </w:rPr>
        <w:t xml:space="preserve">El poder gris. Sociologie des groupes de pression de retraités </w:t>
      </w:r>
      <w:r w:rsidRPr="003B2899">
        <w:rPr>
          <w:lang w:eastAsia="fr-FR"/>
        </w:rPr>
        <w:t>. Prensas Universitarias de Francia</w:t>
      </w:r>
    </w:p>
    <w:p w14:paraId="49ABCFC9" w14:textId="34B83F8D" w:rsidR="00EB7723" w:rsidRPr="003B2899" w:rsidRDefault="00621B5D" w:rsidP="005E1CF2">
      <w:pPr>
        <w:spacing w:before="100" w:beforeAutospacing="1" w:after="100" w:afterAutospacing="1" w:line="276" w:lineRule="auto"/>
        <w:ind w:firstLine="709"/>
        <w:jc w:val="both"/>
        <w:rPr>
          <w:lang w:val="en-US" w:eastAsia="fr-FR"/>
        </w:rPr>
      </w:pPr>
      <w:r w:rsidRPr="003B2899">
        <w:rPr>
          <w:lang w:val="en-US" w:eastAsia="fr-FR"/>
        </w:rPr>
        <w:t xml:space="preserve">Organización Mundial de la Salud. (2020). </w:t>
      </w:r>
      <w:r w:rsidR="00EB7723" w:rsidRPr="003B2899">
        <w:rPr>
          <w:i/>
          <w:iCs/>
          <w:lang w:val="en-US" w:eastAsia="fr-FR"/>
        </w:rPr>
        <w:t>Decenio del envejecimiento saludable (2021-2030).</w:t>
      </w:r>
    </w:p>
    <w:p w14:paraId="72172907" w14:textId="0604541E" w:rsidR="00EF2084" w:rsidRPr="003B2899" w:rsidRDefault="00EB7723" w:rsidP="005E1CF2">
      <w:pPr>
        <w:spacing w:before="100" w:beforeAutospacing="1" w:after="100" w:afterAutospacing="1" w:line="276" w:lineRule="auto"/>
        <w:ind w:firstLine="709"/>
        <w:jc w:val="both"/>
        <w:rPr>
          <w:lang w:val="en-US" w:eastAsia="fr-FR"/>
        </w:rPr>
      </w:pPr>
      <w:r w:rsidRPr="003B2899">
        <w:rPr>
          <w:lang w:val="en-US" w:eastAsia="fr-FR"/>
        </w:rPr>
        <w:t xml:space="preserve">Mundial de la Salud </w:t>
      </w:r>
      <w:proofErr w:type="gramStart"/>
      <w:r w:rsidRPr="003B2899">
        <w:rPr>
          <w:lang w:val="en-US" w:eastAsia="fr-FR"/>
        </w:rPr>
        <w:t>( 2021</w:t>
      </w:r>
      <w:proofErr w:type="gramEnd"/>
      <w:r w:rsidRPr="003B2899">
        <w:rPr>
          <w:lang w:val="en-US" w:eastAsia="fr-FR"/>
        </w:rPr>
        <w:t xml:space="preserve">). </w:t>
      </w:r>
      <w:r w:rsidRPr="003B2899">
        <w:rPr>
          <w:i/>
          <w:iCs/>
          <w:lang w:val="en-US" w:eastAsia="fr-FR"/>
        </w:rPr>
        <w:t>Informe mundial sobre el edadismo.</w:t>
      </w:r>
      <w:r w:rsidRPr="003B2899">
        <w:rPr>
          <w:lang w:val="en-US" w:eastAsia="fr-FR"/>
        </w:rPr>
        <w:t xml:space="preserve"> </w:t>
      </w:r>
      <w:hyperlink r:id="rId18" w:history="1">
        <w:r w:rsidR="00621B5D" w:rsidRPr="003B2899">
          <w:rPr>
            <w:rStyle w:val="Hipervnculo"/>
            <w:lang w:val="en-US" w:eastAsia="fr-FR"/>
          </w:rPr>
          <w:t>https://apps.who.int/iris/rest/bitstreams/1336324/retrieve</w:t>
        </w:r>
      </w:hyperlink>
    </w:p>
    <w:p w14:paraId="6F1BA42A" w14:textId="77777777" w:rsidR="00621B5D" w:rsidRPr="003B2899" w:rsidRDefault="00621B5D" w:rsidP="005E1CF2">
      <w:pPr>
        <w:spacing w:before="100" w:beforeAutospacing="1" w:after="100" w:afterAutospacing="1" w:line="276" w:lineRule="auto"/>
        <w:ind w:firstLine="709"/>
        <w:jc w:val="both"/>
        <w:rPr>
          <w:lang w:val="en-US" w:eastAsia="fr-FR"/>
        </w:rPr>
      </w:pPr>
      <w:r w:rsidRPr="003B2899">
        <w:rPr>
          <w:lang w:val="en-US" w:eastAsia="fr-FR"/>
        </w:rPr>
        <w:t xml:space="preserve">Organización Mundial de la Salud. (2007). </w:t>
      </w:r>
      <w:r w:rsidRPr="003B2899">
        <w:rPr>
          <w:i/>
          <w:iCs/>
          <w:lang w:val="en-US" w:eastAsia="fr-FR"/>
        </w:rPr>
        <w:t>Ciudades globales amigables con la edad: Una guía.</w:t>
      </w:r>
    </w:p>
    <w:p w14:paraId="3382FC99" w14:textId="77777777" w:rsidR="00621B5D" w:rsidRPr="003B2899" w:rsidRDefault="00621B5D" w:rsidP="005E1CF2">
      <w:pPr>
        <w:spacing w:before="100" w:beforeAutospacing="1" w:after="100" w:afterAutospacing="1" w:line="276" w:lineRule="auto"/>
        <w:ind w:firstLine="709"/>
        <w:jc w:val="both"/>
        <w:rPr>
          <w:lang w:val="en-US" w:eastAsia="fr-FR"/>
        </w:rPr>
      </w:pPr>
    </w:p>
    <w:sectPr w:rsidR="00621B5D" w:rsidRPr="003B2899" w:rsidSect="008D64A6">
      <w:headerReference w:type="default" r:id="rId19"/>
      <w:footerReference w:type="even" r:id="rId20"/>
      <w:footerReference w:type="default" r:id="rId21"/>
      <w:pgSz w:w="11906" w:h="16838"/>
      <w:pgMar w:top="687" w:right="1418"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01B34" w14:textId="77777777" w:rsidR="008E658B" w:rsidRDefault="008E658B" w:rsidP="005441EB">
      <w:r>
        <w:separator/>
      </w:r>
    </w:p>
  </w:endnote>
  <w:endnote w:type="continuationSeparator" w:id="0">
    <w:p w14:paraId="4D062EB3" w14:textId="77777777" w:rsidR="008E658B" w:rsidRDefault="008E658B" w:rsidP="00544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344214726"/>
      <w:docPartObj>
        <w:docPartGallery w:val="Page Numbers (Bottom of Page)"/>
        <w:docPartUnique/>
      </w:docPartObj>
    </w:sdtPr>
    <w:sdtContent>
      <w:p w14:paraId="6D582E70" w14:textId="7FDCA8E5" w:rsidR="001E0E7D" w:rsidRDefault="001E0E7D" w:rsidP="006D6B1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8D64A6">
          <w:rPr>
            <w:rStyle w:val="Nmerodepgina"/>
            <w:noProof/>
          </w:rPr>
          <w:t>1</w:t>
        </w:r>
        <w:r>
          <w:rPr>
            <w:rStyle w:val="Nmerodepgina"/>
          </w:rPr>
          <w:fldChar w:fldCharType="end"/>
        </w:r>
      </w:p>
    </w:sdtContent>
  </w:sdt>
  <w:p w14:paraId="13A99F7D" w14:textId="77777777" w:rsidR="001E0E7D" w:rsidRDefault="001E0E7D" w:rsidP="001E0E7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116EE" w14:textId="5141887C" w:rsidR="001E0E7D" w:rsidRDefault="001E0E7D" w:rsidP="006D6B1D">
    <w:pPr>
      <w:pStyle w:val="Piedepgina"/>
      <w:framePr w:wrap="none" w:vAnchor="text" w:hAnchor="margin" w:xAlign="right" w:y="1"/>
      <w:rPr>
        <w:rStyle w:val="Nmerodepgina"/>
      </w:rPr>
    </w:pPr>
  </w:p>
  <w:p w14:paraId="75327B12" w14:textId="77777777" w:rsidR="00D5287B" w:rsidRDefault="00D5287B" w:rsidP="00D5287B">
    <w:pPr>
      <w:pStyle w:val="Piedepgina"/>
    </w:pPr>
    <w:r>
      <w:t xml:space="preserve">                  </w:t>
    </w:r>
    <w:bookmarkStart w:id="17" w:name="_Hlk197280688"/>
    <w:r w:rsidRPr="00E4304D">
      <w:rPr>
        <w:noProof/>
        <w:lang w:eastAsia="es-MX"/>
      </w:rPr>
      <w:drawing>
        <wp:inline distT="0" distB="0" distL="0" distR="0" wp14:anchorId="2CA86770" wp14:editId="5394FDF1">
          <wp:extent cx="1600200" cy="419100"/>
          <wp:effectExtent l="0" t="0" r="0" b="0"/>
          <wp:docPr id="1317318952" name="Imagen 131731895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99355E">
      <w:rPr>
        <w:rFonts w:cstheme="minorHAnsi"/>
        <w:b/>
        <w:bCs/>
      </w:rPr>
      <w:t xml:space="preserve">vol. 14, </w:t>
    </w:r>
    <w:proofErr w:type="spellStart"/>
    <w:r w:rsidRPr="0099355E">
      <w:rPr>
        <w:rFonts w:cstheme="minorHAnsi"/>
        <w:b/>
        <w:bCs/>
      </w:rPr>
      <w:t>núm</w:t>
    </w:r>
    <w:proofErr w:type="spellEnd"/>
    <w:r w:rsidRPr="0099355E">
      <w:rPr>
        <w:rFonts w:cstheme="minorHAnsi"/>
        <w:b/>
        <w:bCs/>
      </w:rPr>
      <w:t xml:space="preserve"> . 27 enero - </w:t>
    </w:r>
    <w:r>
      <w:rPr>
        <w:rFonts w:cstheme="minorHAnsi"/>
        <w:b/>
        <w:bCs/>
      </w:rPr>
      <w:t>junio 2025</w:t>
    </w:r>
  </w:p>
  <w:bookmarkEnd w:id="17"/>
  <w:p w14:paraId="36792083" w14:textId="77777777" w:rsidR="001E0E7D" w:rsidRDefault="001E0E7D" w:rsidP="00D5287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5F488" w14:textId="77777777" w:rsidR="008E658B" w:rsidRDefault="008E658B" w:rsidP="005441EB">
      <w:r>
        <w:separator/>
      </w:r>
    </w:p>
  </w:footnote>
  <w:footnote w:type="continuationSeparator" w:id="0">
    <w:p w14:paraId="210F541A" w14:textId="77777777" w:rsidR="008E658B" w:rsidRDefault="008E658B" w:rsidP="005441EB">
      <w:r>
        <w:continuationSeparator/>
      </w:r>
    </w:p>
  </w:footnote>
  <w:footnote w:id="1">
    <w:p w14:paraId="0405E57B" w14:textId="555569B3" w:rsidR="00A80D53" w:rsidRPr="00A80D53" w:rsidRDefault="00A80D53">
      <w:pPr>
        <w:pStyle w:val="Textonotapie"/>
        <w:rPr>
          <w:rFonts w:ascii="Arial" w:hAnsi="Arial" w:cs="Arial"/>
        </w:rPr>
      </w:pPr>
      <w:r w:rsidRPr="00A80D53">
        <w:rPr>
          <w:rStyle w:val="Refdenotaalpie"/>
          <w:rFonts w:ascii="Arial" w:hAnsi="Arial" w:cs="Arial"/>
        </w:rPr>
        <w:footnoteRef/>
      </w:r>
      <w:r w:rsidRPr="00A80D53">
        <w:rPr>
          <w:rFonts w:ascii="Arial" w:hAnsi="Arial" w:cs="Arial"/>
        </w:rPr>
        <w:t>Réseau d'Études International sur l'Âge, la Citoyenneté et l'Intégration Socio-économique.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DBC70" w14:textId="6DFEE329" w:rsidR="008D64A6" w:rsidRDefault="008D64A6">
    <w:pPr>
      <w:pStyle w:val="Encabezado"/>
    </w:pPr>
    <w:r w:rsidRPr="00761763">
      <w:rPr>
        <w:noProof/>
      </w:rPr>
      <w:drawing>
        <wp:inline distT="0" distB="0" distL="0" distR="0" wp14:anchorId="665D805F" wp14:editId="2C12ACAE">
          <wp:extent cx="5612130" cy="833120"/>
          <wp:effectExtent l="0" t="0" r="7620" b="5080"/>
          <wp:docPr id="6421910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18736" name=""/>
                  <pic:cNvPicPr/>
                </pic:nvPicPr>
                <pic:blipFill>
                  <a:blip r:embed="rId1"/>
                  <a:stretch>
                    <a:fillRect/>
                  </a:stretch>
                </pic:blipFill>
                <pic:spPr>
                  <a:xfrm>
                    <a:off x="0" y="0"/>
                    <a:ext cx="5612130" cy="833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B0F4D"/>
    <w:multiLevelType w:val="multilevel"/>
    <w:tmpl w:val="5E380A56"/>
    <w:lvl w:ilvl="0">
      <w:start w:val="1"/>
      <w:numFmt w:val="decimal"/>
      <w:lvlText w:val="%1"/>
      <w:lvlJc w:val="left"/>
      <w:pPr>
        <w:ind w:left="460" w:hanging="4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 w15:restartNumberingAfterBreak="0">
    <w:nsid w:val="098E5065"/>
    <w:multiLevelType w:val="multilevel"/>
    <w:tmpl w:val="0722EF02"/>
    <w:lvl w:ilvl="0">
      <w:start w:val="2"/>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E191131"/>
    <w:multiLevelType w:val="multilevel"/>
    <w:tmpl w:val="22F0C88C"/>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0E3D62C0"/>
    <w:multiLevelType w:val="multilevel"/>
    <w:tmpl w:val="63D6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82D0B"/>
    <w:multiLevelType w:val="multilevel"/>
    <w:tmpl w:val="771E5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92119A"/>
    <w:multiLevelType w:val="multilevel"/>
    <w:tmpl w:val="F35A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7C7011"/>
    <w:multiLevelType w:val="multilevel"/>
    <w:tmpl w:val="3490C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267EFF"/>
    <w:multiLevelType w:val="hybridMultilevel"/>
    <w:tmpl w:val="A3EC2D66"/>
    <w:lvl w:ilvl="0" w:tplc="9BFA4F6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567B00"/>
    <w:multiLevelType w:val="multilevel"/>
    <w:tmpl w:val="2850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7676CB"/>
    <w:multiLevelType w:val="multilevel"/>
    <w:tmpl w:val="3FB0AECA"/>
    <w:lvl w:ilvl="0">
      <w:start w:val="3"/>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299F003C"/>
    <w:multiLevelType w:val="hybridMultilevel"/>
    <w:tmpl w:val="E77E6E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B342414"/>
    <w:multiLevelType w:val="multilevel"/>
    <w:tmpl w:val="7C02B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E829B0"/>
    <w:multiLevelType w:val="hybridMultilevel"/>
    <w:tmpl w:val="A68601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0601776"/>
    <w:multiLevelType w:val="multilevel"/>
    <w:tmpl w:val="9772741C"/>
    <w:lvl w:ilvl="0">
      <w:start w:val="1"/>
      <w:numFmt w:val="upperRoman"/>
      <w:lvlText w:val="%1."/>
      <w:lvlJc w:val="left"/>
      <w:pPr>
        <w:ind w:left="1080" w:hanging="72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6EA7E1E"/>
    <w:multiLevelType w:val="multilevel"/>
    <w:tmpl w:val="269C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9F4D71"/>
    <w:multiLevelType w:val="multilevel"/>
    <w:tmpl w:val="43928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4D7197"/>
    <w:multiLevelType w:val="multilevel"/>
    <w:tmpl w:val="D774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E9348C"/>
    <w:multiLevelType w:val="multilevel"/>
    <w:tmpl w:val="46BAAC6A"/>
    <w:lvl w:ilvl="0">
      <w:start w:val="2"/>
      <w:numFmt w:val="decimal"/>
      <w:lvlText w:val="%1"/>
      <w:lvlJc w:val="left"/>
      <w:pPr>
        <w:ind w:left="460" w:hanging="4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45C260CD"/>
    <w:multiLevelType w:val="multilevel"/>
    <w:tmpl w:val="AF54D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680416"/>
    <w:multiLevelType w:val="multilevel"/>
    <w:tmpl w:val="0A440C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E412CF"/>
    <w:multiLevelType w:val="multilevel"/>
    <w:tmpl w:val="60BA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3430DF"/>
    <w:multiLevelType w:val="hybridMultilevel"/>
    <w:tmpl w:val="1154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5B1A9A"/>
    <w:multiLevelType w:val="hybridMultilevel"/>
    <w:tmpl w:val="8F92712E"/>
    <w:lvl w:ilvl="0" w:tplc="325C7D24">
      <w:start w:val="2"/>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E00D79"/>
    <w:multiLevelType w:val="multilevel"/>
    <w:tmpl w:val="31DE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B155A0"/>
    <w:multiLevelType w:val="hybridMultilevel"/>
    <w:tmpl w:val="55E80C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69557E2"/>
    <w:multiLevelType w:val="multilevel"/>
    <w:tmpl w:val="8FB47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C104E5"/>
    <w:multiLevelType w:val="multilevel"/>
    <w:tmpl w:val="CA28D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5A5B7D"/>
    <w:multiLevelType w:val="multilevel"/>
    <w:tmpl w:val="13ACF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CF57C9"/>
    <w:multiLevelType w:val="multilevel"/>
    <w:tmpl w:val="2770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0F6F5D"/>
    <w:multiLevelType w:val="multilevel"/>
    <w:tmpl w:val="16948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723A21"/>
    <w:multiLevelType w:val="multilevel"/>
    <w:tmpl w:val="A11C5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8A65EB"/>
    <w:multiLevelType w:val="multilevel"/>
    <w:tmpl w:val="4C7C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F21AD9"/>
    <w:multiLevelType w:val="multilevel"/>
    <w:tmpl w:val="5084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E335B0"/>
    <w:multiLevelType w:val="multilevel"/>
    <w:tmpl w:val="CC3EE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0135C6"/>
    <w:multiLevelType w:val="hybridMultilevel"/>
    <w:tmpl w:val="AB00CD4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BC14AD"/>
    <w:multiLevelType w:val="multilevel"/>
    <w:tmpl w:val="C532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9B47E2"/>
    <w:multiLevelType w:val="hybridMultilevel"/>
    <w:tmpl w:val="E77E6E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3D17D08"/>
    <w:multiLevelType w:val="hybridMultilevel"/>
    <w:tmpl w:val="6F301A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F070A2C"/>
    <w:multiLevelType w:val="multilevel"/>
    <w:tmpl w:val="E4F4F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1902183">
    <w:abstractNumId w:val="21"/>
  </w:num>
  <w:num w:numId="2" w16cid:durableId="459349757">
    <w:abstractNumId w:val="12"/>
  </w:num>
  <w:num w:numId="3" w16cid:durableId="654770593">
    <w:abstractNumId w:val="31"/>
  </w:num>
  <w:num w:numId="4" w16cid:durableId="1039551267">
    <w:abstractNumId w:val="28"/>
  </w:num>
  <w:num w:numId="5" w16cid:durableId="557129945">
    <w:abstractNumId w:val="8"/>
  </w:num>
  <w:num w:numId="6" w16cid:durableId="700663252">
    <w:abstractNumId w:val="19"/>
  </w:num>
  <w:num w:numId="7" w16cid:durableId="1326010782">
    <w:abstractNumId w:val="11"/>
  </w:num>
  <w:num w:numId="8" w16cid:durableId="1290863687">
    <w:abstractNumId w:val="2"/>
  </w:num>
  <w:num w:numId="9" w16cid:durableId="1624923690">
    <w:abstractNumId w:val="7"/>
  </w:num>
  <w:num w:numId="10" w16cid:durableId="198207817">
    <w:abstractNumId w:val="18"/>
  </w:num>
  <w:num w:numId="11" w16cid:durableId="1805658738">
    <w:abstractNumId w:val="37"/>
  </w:num>
  <w:num w:numId="12" w16cid:durableId="265814235">
    <w:abstractNumId w:val="36"/>
  </w:num>
  <w:num w:numId="13" w16cid:durableId="1542209584">
    <w:abstractNumId w:val="10"/>
  </w:num>
  <w:num w:numId="14" w16cid:durableId="1171413286">
    <w:abstractNumId w:val="24"/>
  </w:num>
  <w:num w:numId="15" w16cid:durableId="128473823">
    <w:abstractNumId w:val="0"/>
  </w:num>
  <w:num w:numId="16" w16cid:durableId="684018733">
    <w:abstractNumId w:val="1"/>
  </w:num>
  <w:num w:numId="17" w16cid:durableId="663241119">
    <w:abstractNumId w:val="34"/>
  </w:num>
  <w:num w:numId="18" w16cid:durableId="545291932">
    <w:abstractNumId w:val="22"/>
  </w:num>
  <w:num w:numId="19" w16cid:durableId="1802991155">
    <w:abstractNumId w:val="17"/>
  </w:num>
  <w:num w:numId="20" w16cid:durableId="1027101209">
    <w:abstractNumId w:val="9"/>
  </w:num>
  <w:num w:numId="21" w16cid:durableId="1308785509">
    <w:abstractNumId w:val="20"/>
  </w:num>
  <w:num w:numId="22" w16cid:durableId="766460328">
    <w:abstractNumId w:val="30"/>
  </w:num>
  <w:num w:numId="23" w16cid:durableId="958997044">
    <w:abstractNumId w:val="32"/>
  </w:num>
  <w:num w:numId="24" w16cid:durableId="521479918">
    <w:abstractNumId w:val="5"/>
  </w:num>
  <w:num w:numId="25" w16cid:durableId="434132242">
    <w:abstractNumId w:val="33"/>
  </w:num>
  <w:num w:numId="26" w16cid:durableId="1358433624">
    <w:abstractNumId w:val="29"/>
  </w:num>
  <w:num w:numId="27" w16cid:durableId="1622607770">
    <w:abstractNumId w:val="27"/>
  </w:num>
  <w:num w:numId="28" w16cid:durableId="74982609">
    <w:abstractNumId w:val="3"/>
  </w:num>
  <w:num w:numId="29" w16cid:durableId="2035762432">
    <w:abstractNumId w:val="23"/>
  </w:num>
  <w:num w:numId="30" w16cid:durableId="304697586">
    <w:abstractNumId w:val="25"/>
  </w:num>
  <w:num w:numId="31" w16cid:durableId="1701776831">
    <w:abstractNumId w:val="16"/>
  </w:num>
  <w:num w:numId="32" w16cid:durableId="878468535">
    <w:abstractNumId w:val="38"/>
  </w:num>
  <w:num w:numId="33" w16cid:durableId="167597599">
    <w:abstractNumId w:val="15"/>
  </w:num>
  <w:num w:numId="34" w16cid:durableId="524758833">
    <w:abstractNumId w:val="14"/>
  </w:num>
  <w:num w:numId="35" w16cid:durableId="471170535">
    <w:abstractNumId w:val="6"/>
  </w:num>
  <w:num w:numId="36" w16cid:durableId="941452217">
    <w:abstractNumId w:val="4"/>
  </w:num>
  <w:num w:numId="37" w16cid:durableId="815688371">
    <w:abstractNumId w:val="35"/>
  </w:num>
  <w:num w:numId="38" w16cid:durableId="1851143220">
    <w:abstractNumId w:val="13"/>
  </w:num>
  <w:num w:numId="39" w16cid:durableId="89635677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FF"/>
    <w:rsid w:val="0001453E"/>
    <w:rsid w:val="00020401"/>
    <w:rsid w:val="00032609"/>
    <w:rsid w:val="00043C81"/>
    <w:rsid w:val="0006644D"/>
    <w:rsid w:val="000776F0"/>
    <w:rsid w:val="000A1A17"/>
    <w:rsid w:val="000A4F26"/>
    <w:rsid w:val="000B6AB6"/>
    <w:rsid w:val="000E3F69"/>
    <w:rsid w:val="000F020A"/>
    <w:rsid w:val="001000EE"/>
    <w:rsid w:val="001056FB"/>
    <w:rsid w:val="0011533A"/>
    <w:rsid w:val="0012212E"/>
    <w:rsid w:val="00123556"/>
    <w:rsid w:val="00125FAA"/>
    <w:rsid w:val="00127AB8"/>
    <w:rsid w:val="0013048E"/>
    <w:rsid w:val="0013117E"/>
    <w:rsid w:val="00132F9E"/>
    <w:rsid w:val="00144626"/>
    <w:rsid w:val="00153B78"/>
    <w:rsid w:val="001753B8"/>
    <w:rsid w:val="00177FC2"/>
    <w:rsid w:val="00191A2A"/>
    <w:rsid w:val="001A322B"/>
    <w:rsid w:val="001B687A"/>
    <w:rsid w:val="001C4565"/>
    <w:rsid w:val="001E0E7D"/>
    <w:rsid w:val="0021059A"/>
    <w:rsid w:val="00262B84"/>
    <w:rsid w:val="00270E35"/>
    <w:rsid w:val="00270EEB"/>
    <w:rsid w:val="002A3833"/>
    <w:rsid w:val="002C1205"/>
    <w:rsid w:val="002D2D87"/>
    <w:rsid w:val="002E3EEE"/>
    <w:rsid w:val="003207D5"/>
    <w:rsid w:val="003236F1"/>
    <w:rsid w:val="00336183"/>
    <w:rsid w:val="003522A9"/>
    <w:rsid w:val="00353880"/>
    <w:rsid w:val="003570C5"/>
    <w:rsid w:val="003860FB"/>
    <w:rsid w:val="003A1D25"/>
    <w:rsid w:val="003A4E36"/>
    <w:rsid w:val="003A63D3"/>
    <w:rsid w:val="003B2899"/>
    <w:rsid w:val="003C1E82"/>
    <w:rsid w:val="003C3753"/>
    <w:rsid w:val="003E7847"/>
    <w:rsid w:val="003F65F4"/>
    <w:rsid w:val="0040154B"/>
    <w:rsid w:val="004068FA"/>
    <w:rsid w:val="00420D95"/>
    <w:rsid w:val="00426934"/>
    <w:rsid w:val="004404A8"/>
    <w:rsid w:val="00440DD1"/>
    <w:rsid w:val="0044450C"/>
    <w:rsid w:val="004460A6"/>
    <w:rsid w:val="00453B80"/>
    <w:rsid w:val="00461720"/>
    <w:rsid w:val="004676A3"/>
    <w:rsid w:val="00485A40"/>
    <w:rsid w:val="004A727F"/>
    <w:rsid w:val="004B1E23"/>
    <w:rsid w:val="004B67F6"/>
    <w:rsid w:val="004C250A"/>
    <w:rsid w:val="004C2807"/>
    <w:rsid w:val="004E0488"/>
    <w:rsid w:val="004E7167"/>
    <w:rsid w:val="005152FD"/>
    <w:rsid w:val="005345BD"/>
    <w:rsid w:val="005347E5"/>
    <w:rsid w:val="0054006C"/>
    <w:rsid w:val="005418C8"/>
    <w:rsid w:val="005441EB"/>
    <w:rsid w:val="0055218B"/>
    <w:rsid w:val="005631CF"/>
    <w:rsid w:val="00581604"/>
    <w:rsid w:val="0058501B"/>
    <w:rsid w:val="005879E6"/>
    <w:rsid w:val="00590626"/>
    <w:rsid w:val="00595379"/>
    <w:rsid w:val="005A09CF"/>
    <w:rsid w:val="005A499F"/>
    <w:rsid w:val="005A6E01"/>
    <w:rsid w:val="005B46CB"/>
    <w:rsid w:val="005D3710"/>
    <w:rsid w:val="005D4659"/>
    <w:rsid w:val="005E1CF2"/>
    <w:rsid w:val="005E2E80"/>
    <w:rsid w:val="005E4EBE"/>
    <w:rsid w:val="00604D11"/>
    <w:rsid w:val="00604DE6"/>
    <w:rsid w:val="00621B5D"/>
    <w:rsid w:val="006262B4"/>
    <w:rsid w:val="00630E4A"/>
    <w:rsid w:val="006336BA"/>
    <w:rsid w:val="00633CDB"/>
    <w:rsid w:val="00646F61"/>
    <w:rsid w:val="00653535"/>
    <w:rsid w:val="00655B0F"/>
    <w:rsid w:val="00665408"/>
    <w:rsid w:val="006659B0"/>
    <w:rsid w:val="006669B7"/>
    <w:rsid w:val="00695365"/>
    <w:rsid w:val="006B21B1"/>
    <w:rsid w:val="006B3882"/>
    <w:rsid w:val="006C08F1"/>
    <w:rsid w:val="006C7A21"/>
    <w:rsid w:val="006E6EBB"/>
    <w:rsid w:val="006E78ED"/>
    <w:rsid w:val="006F4857"/>
    <w:rsid w:val="00707640"/>
    <w:rsid w:val="00714D5A"/>
    <w:rsid w:val="00715D0C"/>
    <w:rsid w:val="00734B93"/>
    <w:rsid w:val="00755EC4"/>
    <w:rsid w:val="00760C6A"/>
    <w:rsid w:val="007634B9"/>
    <w:rsid w:val="00763512"/>
    <w:rsid w:val="00793D5E"/>
    <w:rsid w:val="007A40EB"/>
    <w:rsid w:val="007B71C0"/>
    <w:rsid w:val="007E01F6"/>
    <w:rsid w:val="007F211E"/>
    <w:rsid w:val="00800DF0"/>
    <w:rsid w:val="00805715"/>
    <w:rsid w:val="00806183"/>
    <w:rsid w:val="00813E63"/>
    <w:rsid w:val="0081413E"/>
    <w:rsid w:val="00833812"/>
    <w:rsid w:val="008462D1"/>
    <w:rsid w:val="008514EA"/>
    <w:rsid w:val="00853E73"/>
    <w:rsid w:val="00854BCB"/>
    <w:rsid w:val="00863C4A"/>
    <w:rsid w:val="00887C38"/>
    <w:rsid w:val="00895C6E"/>
    <w:rsid w:val="008A0F66"/>
    <w:rsid w:val="008A7C6A"/>
    <w:rsid w:val="008B5FF6"/>
    <w:rsid w:val="008C1863"/>
    <w:rsid w:val="008D64A6"/>
    <w:rsid w:val="008E332A"/>
    <w:rsid w:val="008E658B"/>
    <w:rsid w:val="008F5DF5"/>
    <w:rsid w:val="00903815"/>
    <w:rsid w:val="00934F35"/>
    <w:rsid w:val="00937C23"/>
    <w:rsid w:val="00962E3B"/>
    <w:rsid w:val="00965203"/>
    <w:rsid w:val="00966D25"/>
    <w:rsid w:val="00967547"/>
    <w:rsid w:val="00974157"/>
    <w:rsid w:val="00996E86"/>
    <w:rsid w:val="00997FA1"/>
    <w:rsid w:val="009A75D0"/>
    <w:rsid w:val="009B07E9"/>
    <w:rsid w:val="009B0994"/>
    <w:rsid w:val="009C47BC"/>
    <w:rsid w:val="009D608F"/>
    <w:rsid w:val="009F3737"/>
    <w:rsid w:val="009F695A"/>
    <w:rsid w:val="00A05AAC"/>
    <w:rsid w:val="00A13005"/>
    <w:rsid w:val="00A35572"/>
    <w:rsid w:val="00A44122"/>
    <w:rsid w:val="00A47300"/>
    <w:rsid w:val="00A51CF2"/>
    <w:rsid w:val="00A52E8F"/>
    <w:rsid w:val="00A764B6"/>
    <w:rsid w:val="00A80D53"/>
    <w:rsid w:val="00A83118"/>
    <w:rsid w:val="00AC7966"/>
    <w:rsid w:val="00AD0F2E"/>
    <w:rsid w:val="00AD0FFF"/>
    <w:rsid w:val="00AD293E"/>
    <w:rsid w:val="00AF0B94"/>
    <w:rsid w:val="00AF3BBD"/>
    <w:rsid w:val="00B00BCE"/>
    <w:rsid w:val="00B26693"/>
    <w:rsid w:val="00B3215E"/>
    <w:rsid w:val="00B517AE"/>
    <w:rsid w:val="00B54FC1"/>
    <w:rsid w:val="00B73367"/>
    <w:rsid w:val="00BA268F"/>
    <w:rsid w:val="00BB53A8"/>
    <w:rsid w:val="00BB67B8"/>
    <w:rsid w:val="00BF25C4"/>
    <w:rsid w:val="00C026DC"/>
    <w:rsid w:val="00C0300B"/>
    <w:rsid w:val="00C05A62"/>
    <w:rsid w:val="00C10249"/>
    <w:rsid w:val="00C1147A"/>
    <w:rsid w:val="00C12F7E"/>
    <w:rsid w:val="00C20E67"/>
    <w:rsid w:val="00C35AC0"/>
    <w:rsid w:val="00C40668"/>
    <w:rsid w:val="00C47CED"/>
    <w:rsid w:val="00C71170"/>
    <w:rsid w:val="00C740DE"/>
    <w:rsid w:val="00C9364A"/>
    <w:rsid w:val="00C962B2"/>
    <w:rsid w:val="00CB30BB"/>
    <w:rsid w:val="00CB7794"/>
    <w:rsid w:val="00CC2ECC"/>
    <w:rsid w:val="00CC7AE8"/>
    <w:rsid w:val="00CD5AD1"/>
    <w:rsid w:val="00CD6410"/>
    <w:rsid w:val="00CF59E1"/>
    <w:rsid w:val="00CF7BC5"/>
    <w:rsid w:val="00D06BEA"/>
    <w:rsid w:val="00D12173"/>
    <w:rsid w:val="00D357B0"/>
    <w:rsid w:val="00D41FF8"/>
    <w:rsid w:val="00D42B00"/>
    <w:rsid w:val="00D5287B"/>
    <w:rsid w:val="00D54E93"/>
    <w:rsid w:val="00D60CE6"/>
    <w:rsid w:val="00D82375"/>
    <w:rsid w:val="00D856D4"/>
    <w:rsid w:val="00D90139"/>
    <w:rsid w:val="00D969F4"/>
    <w:rsid w:val="00DA47AE"/>
    <w:rsid w:val="00DA531D"/>
    <w:rsid w:val="00DB5AFF"/>
    <w:rsid w:val="00DC78F7"/>
    <w:rsid w:val="00DF2EF6"/>
    <w:rsid w:val="00DF4AC6"/>
    <w:rsid w:val="00E32131"/>
    <w:rsid w:val="00E354A5"/>
    <w:rsid w:val="00E35C19"/>
    <w:rsid w:val="00E96E3D"/>
    <w:rsid w:val="00EA54B5"/>
    <w:rsid w:val="00EA7B76"/>
    <w:rsid w:val="00EB4EC2"/>
    <w:rsid w:val="00EB7723"/>
    <w:rsid w:val="00EC1EFB"/>
    <w:rsid w:val="00ED3814"/>
    <w:rsid w:val="00ED55CE"/>
    <w:rsid w:val="00EF1AD9"/>
    <w:rsid w:val="00EF2084"/>
    <w:rsid w:val="00EF72CC"/>
    <w:rsid w:val="00F02737"/>
    <w:rsid w:val="00F06E3C"/>
    <w:rsid w:val="00F124DA"/>
    <w:rsid w:val="00F13084"/>
    <w:rsid w:val="00F16B05"/>
    <w:rsid w:val="00F271AF"/>
    <w:rsid w:val="00F45F84"/>
    <w:rsid w:val="00F52B9D"/>
    <w:rsid w:val="00F61180"/>
    <w:rsid w:val="00F64DA4"/>
    <w:rsid w:val="00F930FF"/>
    <w:rsid w:val="00FB1411"/>
    <w:rsid w:val="00FD1528"/>
    <w:rsid w:val="00FE0B04"/>
    <w:rsid w:val="00FF5B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43A86"/>
  <w15:chartTrackingRefBased/>
  <w15:docId w15:val="{F956970B-3ED0-4846-823A-1BE9B76C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118"/>
    <w:pPr>
      <w:spacing w:before="120" w:after="120" w:line="240" w:lineRule="auto"/>
    </w:pPr>
    <w:rPr>
      <w:rFonts w:ascii="Times New Roman" w:eastAsia="Times New Roman" w:hAnsi="Times New Roman" w:cs="Times New Roman"/>
      <w:sz w:val="24"/>
      <w:szCs w:val="24"/>
      <w:lang w:eastAsia="en-GB"/>
    </w:rPr>
  </w:style>
  <w:style w:type="paragraph" w:styleId="Ttulo1">
    <w:name w:val="heading 1"/>
    <w:basedOn w:val="Normal"/>
    <w:link w:val="Ttulo1Car"/>
    <w:uiPriority w:val="9"/>
    <w:qFormat/>
    <w:rsid w:val="00F45F84"/>
    <w:pPr>
      <w:spacing w:before="100" w:beforeAutospacing="1" w:after="100" w:afterAutospacing="1"/>
      <w:outlineLvl w:val="0"/>
    </w:pPr>
    <w:rPr>
      <w:b/>
      <w:bCs/>
      <w:kern w:val="36"/>
      <w:sz w:val="32"/>
      <w:szCs w:val="48"/>
      <w:lang w:eastAsia="fr-FR"/>
    </w:rPr>
  </w:style>
  <w:style w:type="paragraph" w:styleId="Ttulo2">
    <w:name w:val="heading 2"/>
    <w:basedOn w:val="Normal"/>
    <w:link w:val="Ttulo2Car"/>
    <w:uiPriority w:val="9"/>
    <w:qFormat/>
    <w:rsid w:val="008F5DF5"/>
    <w:pPr>
      <w:spacing w:before="100" w:beforeAutospacing="1" w:after="100" w:afterAutospacing="1"/>
      <w:outlineLvl w:val="1"/>
    </w:pPr>
    <w:rPr>
      <w:b/>
      <w:bCs/>
      <w:sz w:val="36"/>
      <w:szCs w:val="36"/>
      <w:lang w:eastAsia="fr-FR"/>
    </w:rPr>
  </w:style>
  <w:style w:type="paragraph" w:styleId="Ttulo3">
    <w:name w:val="heading 3"/>
    <w:basedOn w:val="Normal"/>
    <w:link w:val="Ttulo3Car"/>
    <w:uiPriority w:val="9"/>
    <w:qFormat/>
    <w:rsid w:val="008F5DF5"/>
    <w:pPr>
      <w:spacing w:before="100" w:beforeAutospacing="1" w:after="100" w:afterAutospacing="1"/>
      <w:outlineLvl w:val="2"/>
    </w:pPr>
    <w:rPr>
      <w:b/>
      <w:bCs/>
      <w:sz w:val="27"/>
      <w:szCs w:val="27"/>
      <w:lang w:eastAsia="fr-FR"/>
    </w:rPr>
  </w:style>
  <w:style w:type="paragraph" w:styleId="Ttulo4">
    <w:name w:val="heading 4"/>
    <w:basedOn w:val="Normal"/>
    <w:next w:val="Normal"/>
    <w:link w:val="Ttulo4Car"/>
    <w:uiPriority w:val="9"/>
    <w:semiHidden/>
    <w:unhideWhenUsed/>
    <w:qFormat/>
    <w:rsid w:val="006B38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6262B4"/>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6262B4"/>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AD0FFF"/>
    <w:pPr>
      <w:tabs>
        <w:tab w:val="center" w:pos="4536"/>
        <w:tab w:val="right" w:pos="9072"/>
      </w:tabs>
    </w:pPr>
  </w:style>
  <w:style w:type="character" w:customStyle="1" w:styleId="PiedepginaCar">
    <w:name w:val="Pie de página Car"/>
    <w:basedOn w:val="Fuentedeprrafopredeter"/>
    <w:link w:val="Piedepgina"/>
    <w:uiPriority w:val="99"/>
    <w:rsid w:val="00AD0FFF"/>
    <w:rPr>
      <w:rFonts w:ascii="Times New Roman" w:eastAsia="Times New Roman" w:hAnsi="Times New Roman" w:cs="Times New Roman"/>
    </w:rPr>
  </w:style>
  <w:style w:type="paragraph" w:styleId="Sinespaciado">
    <w:name w:val="No Spacing"/>
    <w:uiPriority w:val="1"/>
    <w:qFormat/>
    <w:rsid w:val="00AD0FFF"/>
    <w:pPr>
      <w:spacing w:after="0" w:line="240" w:lineRule="auto"/>
    </w:pPr>
  </w:style>
  <w:style w:type="character" w:customStyle="1" w:styleId="normaltextrun">
    <w:name w:val="normaltextrun"/>
    <w:basedOn w:val="Fuentedeprrafopredeter"/>
    <w:rsid w:val="00CB7794"/>
  </w:style>
  <w:style w:type="paragraph" w:styleId="NormalWeb">
    <w:name w:val="Normal (Web)"/>
    <w:basedOn w:val="Normal"/>
    <w:uiPriority w:val="99"/>
    <w:unhideWhenUsed/>
    <w:rsid w:val="00CB7794"/>
    <w:pPr>
      <w:spacing w:before="100" w:beforeAutospacing="1" w:after="100" w:afterAutospacing="1"/>
    </w:pPr>
    <w:rPr>
      <w:lang w:eastAsia="fr-FR"/>
    </w:rPr>
  </w:style>
  <w:style w:type="character" w:styleId="Textoennegrita">
    <w:name w:val="Strong"/>
    <w:basedOn w:val="Fuentedeprrafopredeter"/>
    <w:uiPriority w:val="22"/>
    <w:qFormat/>
    <w:rsid w:val="00CB7794"/>
    <w:rPr>
      <w:b/>
      <w:bCs/>
    </w:rPr>
  </w:style>
  <w:style w:type="paragraph" w:styleId="Prrafodelista">
    <w:name w:val="List Paragraph"/>
    <w:basedOn w:val="Normal"/>
    <w:uiPriority w:val="34"/>
    <w:qFormat/>
    <w:rsid w:val="005441EB"/>
    <w:pPr>
      <w:ind w:left="720"/>
      <w:contextualSpacing/>
    </w:pPr>
  </w:style>
  <w:style w:type="paragraph" w:styleId="Textonotapie">
    <w:name w:val="footnote text"/>
    <w:basedOn w:val="Normal"/>
    <w:link w:val="TextonotapieCar"/>
    <w:uiPriority w:val="99"/>
    <w:semiHidden/>
    <w:unhideWhenUsed/>
    <w:rsid w:val="005441EB"/>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5441EB"/>
    <w:rPr>
      <w:sz w:val="20"/>
      <w:szCs w:val="20"/>
    </w:rPr>
  </w:style>
  <w:style w:type="character" w:styleId="Refdenotaalpie">
    <w:name w:val="footnote reference"/>
    <w:basedOn w:val="Fuentedeprrafopredeter"/>
    <w:uiPriority w:val="99"/>
    <w:semiHidden/>
    <w:unhideWhenUsed/>
    <w:rsid w:val="005441EB"/>
    <w:rPr>
      <w:vertAlign w:val="superscript"/>
    </w:rPr>
  </w:style>
  <w:style w:type="character" w:customStyle="1" w:styleId="truncate">
    <w:name w:val="truncate"/>
    <w:basedOn w:val="Fuentedeprrafopredeter"/>
    <w:rsid w:val="00D357B0"/>
  </w:style>
  <w:style w:type="character" w:customStyle="1" w:styleId="Ttulo1Car">
    <w:name w:val="Título 1 Car"/>
    <w:basedOn w:val="Fuentedeprrafopredeter"/>
    <w:link w:val="Ttulo1"/>
    <w:uiPriority w:val="9"/>
    <w:rsid w:val="00F45F84"/>
    <w:rPr>
      <w:rFonts w:ascii="Times New Roman" w:eastAsia="Times New Roman" w:hAnsi="Times New Roman" w:cs="Times New Roman"/>
      <w:b/>
      <w:bCs/>
      <w:kern w:val="36"/>
      <w:sz w:val="32"/>
      <w:szCs w:val="48"/>
      <w:lang w:val="es" w:eastAsia="fr-FR"/>
    </w:rPr>
  </w:style>
  <w:style w:type="character" w:customStyle="1" w:styleId="Ttulo2Car">
    <w:name w:val="Título 2 Car"/>
    <w:basedOn w:val="Fuentedeprrafopredeter"/>
    <w:link w:val="Ttulo2"/>
    <w:uiPriority w:val="9"/>
    <w:rsid w:val="008F5DF5"/>
    <w:rPr>
      <w:rFonts w:ascii="Times New Roman" w:eastAsia="Times New Roman" w:hAnsi="Times New Roman" w:cs="Times New Roman"/>
      <w:b/>
      <w:bCs/>
      <w:sz w:val="36"/>
      <w:szCs w:val="36"/>
      <w:lang w:val="es" w:eastAsia="fr-FR"/>
    </w:rPr>
  </w:style>
  <w:style w:type="character" w:customStyle="1" w:styleId="Ttulo3Car">
    <w:name w:val="Título 3 Car"/>
    <w:basedOn w:val="Fuentedeprrafopredeter"/>
    <w:link w:val="Ttulo3"/>
    <w:uiPriority w:val="9"/>
    <w:rsid w:val="008F5DF5"/>
    <w:rPr>
      <w:rFonts w:ascii="Times New Roman" w:eastAsia="Times New Roman" w:hAnsi="Times New Roman" w:cs="Times New Roman"/>
      <w:b/>
      <w:bCs/>
      <w:sz w:val="27"/>
      <w:szCs w:val="27"/>
      <w:lang w:val="es" w:eastAsia="fr-FR"/>
    </w:rPr>
  </w:style>
  <w:style w:type="character" w:customStyle="1" w:styleId="Ttulo5Car">
    <w:name w:val="Título 5 Car"/>
    <w:basedOn w:val="Fuentedeprrafopredeter"/>
    <w:link w:val="Ttulo5"/>
    <w:uiPriority w:val="9"/>
    <w:semiHidden/>
    <w:rsid w:val="006262B4"/>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6262B4"/>
    <w:rPr>
      <w:rFonts w:asciiTheme="majorHAnsi" w:eastAsiaTheme="majorEastAsia" w:hAnsiTheme="majorHAnsi" w:cstheme="majorBidi"/>
      <w:color w:val="1F3763" w:themeColor="accent1" w:themeShade="7F"/>
    </w:rPr>
  </w:style>
  <w:style w:type="character" w:styleId="nfasis">
    <w:name w:val="Emphasis"/>
    <w:basedOn w:val="Fuentedeprrafopredeter"/>
    <w:uiPriority w:val="20"/>
    <w:qFormat/>
    <w:rsid w:val="009B07E9"/>
    <w:rPr>
      <w:i/>
      <w:iCs/>
    </w:rPr>
  </w:style>
  <w:style w:type="paragraph" w:styleId="TtuloTDC">
    <w:name w:val="TOC Heading"/>
    <w:basedOn w:val="Ttulo1"/>
    <w:next w:val="Normal"/>
    <w:uiPriority w:val="39"/>
    <w:unhideWhenUsed/>
    <w:qFormat/>
    <w:rsid w:val="00C40668"/>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Cs w:val="32"/>
    </w:rPr>
  </w:style>
  <w:style w:type="paragraph" w:styleId="TDC1">
    <w:name w:val="toc 1"/>
    <w:basedOn w:val="Normal"/>
    <w:next w:val="Normal"/>
    <w:autoRedefine/>
    <w:uiPriority w:val="39"/>
    <w:unhideWhenUsed/>
    <w:rsid w:val="00C40668"/>
    <w:pPr>
      <w:spacing w:after="100"/>
    </w:pPr>
  </w:style>
  <w:style w:type="paragraph" w:styleId="TDC3">
    <w:name w:val="toc 3"/>
    <w:basedOn w:val="Normal"/>
    <w:next w:val="Normal"/>
    <w:autoRedefine/>
    <w:uiPriority w:val="39"/>
    <w:unhideWhenUsed/>
    <w:rsid w:val="00C40668"/>
    <w:pPr>
      <w:spacing w:after="100"/>
      <w:ind w:left="440"/>
    </w:pPr>
  </w:style>
  <w:style w:type="paragraph" w:styleId="TDC2">
    <w:name w:val="toc 2"/>
    <w:basedOn w:val="Normal"/>
    <w:next w:val="Normal"/>
    <w:autoRedefine/>
    <w:uiPriority w:val="39"/>
    <w:unhideWhenUsed/>
    <w:rsid w:val="00C40668"/>
    <w:pPr>
      <w:spacing w:after="100"/>
      <w:ind w:left="220"/>
    </w:pPr>
  </w:style>
  <w:style w:type="character" w:styleId="Hipervnculo">
    <w:name w:val="Hyperlink"/>
    <w:basedOn w:val="Fuentedeprrafopredeter"/>
    <w:uiPriority w:val="99"/>
    <w:unhideWhenUsed/>
    <w:rsid w:val="00C40668"/>
    <w:rPr>
      <w:color w:val="0563C1" w:themeColor="hyperlink"/>
      <w:u w:val="single"/>
    </w:rPr>
  </w:style>
  <w:style w:type="character" w:styleId="Mencinsinresolver">
    <w:name w:val="Unresolved Mention"/>
    <w:basedOn w:val="Fuentedeprrafopredeter"/>
    <w:uiPriority w:val="99"/>
    <w:semiHidden/>
    <w:unhideWhenUsed/>
    <w:rsid w:val="004A727F"/>
    <w:rPr>
      <w:color w:val="605E5C"/>
      <w:shd w:val="clear" w:color="auto" w:fill="E1DFDD"/>
    </w:rPr>
  </w:style>
  <w:style w:type="character" w:styleId="Nmerodepgina">
    <w:name w:val="page number"/>
    <w:basedOn w:val="Fuentedeprrafopredeter"/>
    <w:uiPriority w:val="99"/>
    <w:semiHidden/>
    <w:unhideWhenUsed/>
    <w:rsid w:val="001E0E7D"/>
  </w:style>
  <w:style w:type="paragraph" w:styleId="Revisin">
    <w:name w:val="Revision"/>
    <w:hidden/>
    <w:uiPriority w:val="99"/>
    <w:semiHidden/>
    <w:rsid w:val="001E0E7D"/>
    <w:pPr>
      <w:spacing w:after="0" w:line="240" w:lineRule="auto"/>
    </w:pPr>
    <w:rPr>
      <w:rFonts w:ascii="Garamond" w:eastAsia="Times New Roman" w:hAnsi="Garamond" w:cs="Times New Roman"/>
    </w:rPr>
  </w:style>
  <w:style w:type="paragraph" w:customStyle="1" w:styleId="p1">
    <w:name w:val="p1"/>
    <w:basedOn w:val="Normal"/>
    <w:rsid w:val="003207D5"/>
    <w:pPr>
      <w:spacing w:before="0" w:after="0"/>
    </w:pPr>
    <w:rPr>
      <w:color w:val="000000"/>
      <w:sz w:val="18"/>
      <w:szCs w:val="18"/>
    </w:rPr>
  </w:style>
  <w:style w:type="character" w:customStyle="1" w:styleId="s1">
    <w:name w:val="s1"/>
    <w:basedOn w:val="Fuentedeprrafopredeter"/>
    <w:rsid w:val="003207D5"/>
    <w:rPr>
      <w:rFonts w:ascii="Helvetica" w:hAnsi="Helvetica" w:hint="default"/>
      <w:sz w:val="18"/>
      <w:szCs w:val="18"/>
    </w:rPr>
  </w:style>
  <w:style w:type="character" w:customStyle="1" w:styleId="s2">
    <w:name w:val="s2"/>
    <w:basedOn w:val="Fuentedeprrafopredeter"/>
    <w:rsid w:val="003207D5"/>
    <w:rPr>
      <w:rFonts w:ascii="Times New Roman" w:hAnsi="Times New Roman" w:cs="Times New Roman" w:hint="default"/>
      <w:sz w:val="12"/>
      <w:szCs w:val="12"/>
    </w:rPr>
  </w:style>
  <w:style w:type="character" w:customStyle="1" w:styleId="s3">
    <w:name w:val="s3"/>
    <w:basedOn w:val="Fuentedeprrafopredeter"/>
    <w:rsid w:val="003207D5"/>
    <w:rPr>
      <w:rFonts w:ascii="Helvetica" w:hAnsi="Helvetica" w:hint="default"/>
      <w:sz w:val="54"/>
      <w:szCs w:val="54"/>
    </w:rPr>
  </w:style>
  <w:style w:type="character" w:customStyle="1" w:styleId="relative">
    <w:name w:val="relative"/>
    <w:basedOn w:val="Fuentedeprrafopredeter"/>
    <w:rsid w:val="009F695A"/>
  </w:style>
  <w:style w:type="character" w:customStyle="1" w:styleId="ml-1">
    <w:name w:val="ml-1"/>
    <w:basedOn w:val="Fuentedeprrafopredeter"/>
    <w:rsid w:val="009F695A"/>
  </w:style>
  <w:style w:type="character" w:customStyle="1" w:styleId="max-w-full">
    <w:name w:val="max-w-full"/>
    <w:basedOn w:val="Fuentedeprrafopredeter"/>
    <w:rsid w:val="009F695A"/>
  </w:style>
  <w:style w:type="character" w:customStyle="1" w:styleId="-mr-1">
    <w:name w:val="-mr-1"/>
    <w:basedOn w:val="Fuentedeprrafopredeter"/>
    <w:rsid w:val="009F695A"/>
  </w:style>
  <w:style w:type="character" w:customStyle="1" w:styleId="jss269">
    <w:name w:val="jss269"/>
    <w:basedOn w:val="Fuentedeprrafopredeter"/>
    <w:rsid w:val="00191A2A"/>
  </w:style>
  <w:style w:type="character" w:customStyle="1" w:styleId="volumaison">
    <w:name w:val="volumaison"/>
    <w:basedOn w:val="Fuentedeprrafopredeter"/>
    <w:rsid w:val="00EF2084"/>
  </w:style>
  <w:style w:type="paragraph" w:customStyle="1" w:styleId="auteur">
    <w:name w:val="auteur"/>
    <w:basedOn w:val="Normal"/>
    <w:rsid w:val="00EF2084"/>
    <w:pPr>
      <w:spacing w:before="100" w:beforeAutospacing="1" w:after="100" w:afterAutospacing="1"/>
    </w:pPr>
    <w:rPr>
      <w:lang w:eastAsia="fr-FR"/>
    </w:rPr>
  </w:style>
  <w:style w:type="character" w:customStyle="1" w:styleId="nompers">
    <w:name w:val="nompers"/>
    <w:basedOn w:val="Fuentedeprrafopredeter"/>
    <w:rsid w:val="00EF2084"/>
  </w:style>
  <w:style w:type="paragraph" w:customStyle="1" w:styleId="akkordion-title">
    <w:name w:val="akkordion-title"/>
    <w:basedOn w:val="Normal"/>
    <w:rsid w:val="00EB7723"/>
    <w:pPr>
      <w:spacing w:before="100" w:beforeAutospacing="1" w:after="100" w:afterAutospacing="1"/>
    </w:pPr>
    <w:rPr>
      <w:lang w:eastAsia="fr-FR"/>
    </w:rPr>
  </w:style>
  <w:style w:type="character" w:customStyle="1" w:styleId="hint--top">
    <w:name w:val="hint--top"/>
    <w:basedOn w:val="Fuentedeprrafopredeter"/>
    <w:rsid w:val="00EB7723"/>
  </w:style>
  <w:style w:type="character" w:customStyle="1" w:styleId="clipboard-msg">
    <w:name w:val="clipboard-msg"/>
    <w:basedOn w:val="Fuentedeprrafopredeter"/>
    <w:rsid w:val="00EB7723"/>
  </w:style>
  <w:style w:type="paragraph" w:customStyle="1" w:styleId="refpapier">
    <w:name w:val="refpapier"/>
    <w:basedOn w:val="Normal"/>
    <w:rsid w:val="00EB7723"/>
    <w:pPr>
      <w:spacing w:before="100" w:beforeAutospacing="1" w:after="100" w:afterAutospacing="1"/>
    </w:pPr>
    <w:rPr>
      <w:lang w:eastAsia="fr-FR"/>
    </w:rPr>
  </w:style>
  <w:style w:type="character" w:customStyle="1" w:styleId="Ttulo4Car">
    <w:name w:val="Título 4 Car"/>
    <w:basedOn w:val="Fuentedeprrafopredeter"/>
    <w:link w:val="Ttulo4"/>
    <w:uiPriority w:val="9"/>
    <w:semiHidden/>
    <w:rsid w:val="006B3882"/>
    <w:rPr>
      <w:rFonts w:asciiTheme="majorHAnsi" w:eastAsiaTheme="majorEastAsia" w:hAnsiTheme="majorHAnsi" w:cstheme="majorBidi"/>
      <w:i/>
      <w:iCs/>
      <w:color w:val="2F5496" w:themeColor="accent1" w:themeShade="BF"/>
      <w:sz w:val="24"/>
      <w:szCs w:val="24"/>
      <w:lang w:val="es" w:eastAsia="en-GB"/>
    </w:rPr>
  </w:style>
  <w:style w:type="character" w:styleId="Refdecomentario">
    <w:name w:val="annotation reference"/>
    <w:basedOn w:val="Fuentedeprrafopredeter"/>
    <w:uiPriority w:val="99"/>
    <w:semiHidden/>
    <w:unhideWhenUsed/>
    <w:rsid w:val="00AC7966"/>
    <w:rPr>
      <w:sz w:val="16"/>
      <w:szCs w:val="16"/>
    </w:rPr>
  </w:style>
  <w:style w:type="paragraph" w:styleId="Textocomentario">
    <w:name w:val="annotation text"/>
    <w:basedOn w:val="Normal"/>
    <w:link w:val="TextocomentarioCar"/>
    <w:uiPriority w:val="99"/>
    <w:semiHidden/>
    <w:unhideWhenUsed/>
    <w:rsid w:val="00AC7966"/>
    <w:rPr>
      <w:sz w:val="20"/>
      <w:szCs w:val="20"/>
    </w:rPr>
  </w:style>
  <w:style w:type="character" w:customStyle="1" w:styleId="TextocomentarioCar">
    <w:name w:val="Texto comentario Car"/>
    <w:basedOn w:val="Fuentedeprrafopredeter"/>
    <w:link w:val="Textocomentario"/>
    <w:uiPriority w:val="99"/>
    <w:semiHidden/>
    <w:rsid w:val="00AC7966"/>
    <w:rPr>
      <w:rFonts w:ascii="Times New Roman" w:eastAsia="Times New Roman" w:hAnsi="Times New Roman" w:cs="Times New Roman"/>
      <w:sz w:val="20"/>
      <w:szCs w:val="20"/>
      <w:lang w:val="es" w:eastAsia="en-GB"/>
    </w:rPr>
  </w:style>
  <w:style w:type="paragraph" w:styleId="Asuntodelcomentario">
    <w:name w:val="annotation subject"/>
    <w:basedOn w:val="Textocomentario"/>
    <w:next w:val="Textocomentario"/>
    <w:link w:val="AsuntodelcomentarioCar"/>
    <w:uiPriority w:val="99"/>
    <w:semiHidden/>
    <w:unhideWhenUsed/>
    <w:rsid w:val="00AC7966"/>
    <w:rPr>
      <w:b/>
      <w:bCs/>
    </w:rPr>
  </w:style>
  <w:style w:type="character" w:customStyle="1" w:styleId="AsuntodelcomentarioCar">
    <w:name w:val="Asunto del comentario Car"/>
    <w:basedOn w:val="TextocomentarioCar"/>
    <w:link w:val="Asuntodelcomentario"/>
    <w:uiPriority w:val="99"/>
    <w:semiHidden/>
    <w:rsid w:val="00AC7966"/>
    <w:rPr>
      <w:rFonts w:ascii="Times New Roman" w:eastAsia="Times New Roman" w:hAnsi="Times New Roman" w:cs="Times New Roman"/>
      <w:b/>
      <w:bCs/>
      <w:sz w:val="20"/>
      <w:szCs w:val="20"/>
      <w:lang w:val="es" w:eastAsia="en-GB"/>
    </w:rPr>
  </w:style>
  <w:style w:type="paragraph" w:styleId="Encabezado">
    <w:name w:val="header"/>
    <w:basedOn w:val="Normal"/>
    <w:link w:val="EncabezadoCar"/>
    <w:uiPriority w:val="99"/>
    <w:unhideWhenUsed/>
    <w:rsid w:val="0006644D"/>
    <w:pPr>
      <w:tabs>
        <w:tab w:val="center" w:pos="4513"/>
        <w:tab w:val="right" w:pos="9026"/>
      </w:tabs>
      <w:spacing w:before="0" w:after="0"/>
    </w:pPr>
  </w:style>
  <w:style w:type="character" w:customStyle="1" w:styleId="EncabezadoCar">
    <w:name w:val="Encabezado Car"/>
    <w:basedOn w:val="Fuentedeprrafopredeter"/>
    <w:link w:val="Encabezado"/>
    <w:uiPriority w:val="99"/>
    <w:rsid w:val="0006644D"/>
    <w:rPr>
      <w:rFonts w:ascii="Times New Roman" w:eastAsia="Times New Roman" w:hAnsi="Times New Roman" w:cs="Times New Roman"/>
      <w:sz w:val="24"/>
      <w:szCs w:val="24"/>
      <w:lang w:val="es" w:eastAsia="en-GB"/>
    </w:rPr>
  </w:style>
  <w:style w:type="paragraph" w:customStyle="1" w:styleId="inline-block">
    <w:name w:val="inline-block"/>
    <w:basedOn w:val="Normal"/>
    <w:rsid w:val="00655B0F"/>
    <w:pPr>
      <w:spacing w:before="100" w:beforeAutospacing="1" w:after="100" w:afterAutospacing="1"/>
    </w:pPr>
  </w:style>
  <w:style w:type="character" w:customStyle="1" w:styleId="cursor-not-allowed">
    <w:name w:val="cursor-not-allowed"/>
    <w:basedOn w:val="Fuentedeprrafopredeter"/>
    <w:rsid w:val="00655B0F"/>
  </w:style>
  <w:style w:type="character" w:customStyle="1" w:styleId="font-normal">
    <w:name w:val="font-normal"/>
    <w:basedOn w:val="Fuentedeprrafopredeter"/>
    <w:rsid w:val="00655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3878">
      <w:bodyDiv w:val="1"/>
      <w:marLeft w:val="0"/>
      <w:marRight w:val="0"/>
      <w:marTop w:val="0"/>
      <w:marBottom w:val="0"/>
      <w:divBdr>
        <w:top w:val="none" w:sz="0" w:space="0" w:color="auto"/>
        <w:left w:val="none" w:sz="0" w:space="0" w:color="auto"/>
        <w:bottom w:val="none" w:sz="0" w:space="0" w:color="auto"/>
        <w:right w:val="none" w:sz="0" w:space="0" w:color="auto"/>
      </w:divBdr>
    </w:div>
    <w:div w:id="30349611">
      <w:bodyDiv w:val="1"/>
      <w:marLeft w:val="0"/>
      <w:marRight w:val="0"/>
      <w:marTop w:val="0"/>
      <w:marBottom w:val="0"/>
      <w:divBdr>
        <w:top w:val="none" w:sz="0" w:space="0" w:color="auto"/>
        <w:left w:val="none" w:sz="0" w:space="0" w:color="auto"/>
        <w:bottom w:val="none" w:sz="0" w:space="0" w:color="auto"/>
        <w:right w:val="none" w:sz="0" w:space="0" w:color="auto"/>
      </w:divBdr>
    </w:div>
    <w:div w:id="98916044">
      <w:bodyDiv w:val="1"/>
      <w:marLeft w:val="0"/>
      <w:marRight w:val="0"/>
      <w:marTop w:val="0"/>
      <w:marBottom w:val="0"/>
      <w:divBdr>
        <w:top w:val="none" w:sz="0" w:space="0" w:color="auto"/>
        <w:left w:val="none" w:sz="0" w:space="0" w:color="auto"/>
        <w:bottom w:val="none" w:sz="0" w:space="0" w:color="auto"/>
        <w:right w:val="none" w:sz="0" w:space="0" w:color="auto"/>
      </w:divBdr>
    </w:div>
    <w:div w:id="125591679">
      <w:bodyDiv w:val="1"/>
      <w:marLeft w:val="0"/>
      <w:marRight w:val="0"/>
      <w:marTop w:val="0"/>
      <w:marBottom w:val="0"/>
      <w:divBdr>
        <w:top w:val="none" w:sz="0" w:space="0" w:color="auto"/>
        <w:left w:val="none" w:sz="0" w:space="0" w:color="auto"/>
        <w:bottom w:val="none" w:sz="0" w:space="0" w:color="auto"/>
        <w:right w:val="none" w:sz="0" w:space="0" w:color="auto"/>
      </w:divBdr>
    </w:div>
    <w:div w:id="149906976">
      <w:bodyDiv w:val="1"/>
      <w:marLeft w:val="0"/>
      <w:marRight w:val="0"/>
      <w:marTop w:val="0"/>
      <w:marBottom w:val="0"/>
      <w:divBdr>
        <w:top w:val="none" w:sz="0" w:space="0" w:color="auto"/>
        <w:left w:val="none" w:sz="0" w:space="0" w:color="auto"/>
        <w:bottom w:val="none" w:sz="0" w:space="0" w:color="auto"/>
        <w:right w:val="none" w:sz="0" w:space="0" w:color="auto"/>
      </w:divBdr>
    </w:div>
    <w:div w:id="172768831">
      <w:bodyDiv w:val="1"/>
      <w:marLeft w:val="0"/>
      <w:marRight w:val="0"/>
      <w:marTop w:val="0"/>
      <w:marBottom w:val="0"/>
      <w:divBdr>
        <w:top w:val="none" w:sz="0" w:space="0" w:color="auto"/>
        <w:left w:val="none" w:sz="0" w:space="0" w:color="auto"/>
        <w:bottom w:val="none" w:sz="0" w:space="0" w:color="auto"/>
        <w:right w:val="none" w:sz="0" w:space="0" w:color="auto"/>
      </w:divBdr>
    </w:div>
    <w:div w:id="189540038">
      <w:bodyDiv w:val="1"/>
      <w:marLeft w:val="0"/>
      <w:marRight w:val="0"/>
      <w:marTop w:val="0"/>
      <w:marBottom w:val="0"/>
      <w:divBdr>
        <w:top w:val="none" w:sz="0" w:space="0" w:color="auto"/>
        <w:left w:val="none" w:sz="0" w:space="0" w:color="auto"/>
        <w:bottom w:val="none" w:sz="0" w:space="0" w:color="auto"/>
        <w:right w:val="none" w:sz="0" w:space="0" w:color="auto"/>
      </w:divBdr>
    </w:div>
    <w:div w:id="195236085">
      <w:bodyDiv w:val="1"/>
      <w:marLeft w:val="0"/>
      <w:marRight w:val="0"/>
      <w:marTop w:val="0"/>
      <w:marBottom w:val="0"/>
      <w:divBdr>
        <w:top w:val="none" w:sz="0" w:space="0" w:color="auto"/>
        <w:left w:val="none" w:sz="0" w:space="0" w:color="auto"/>
        <w:bottom w:val="none" w:sz="0" w:space="0" w:color="auto"/>
        <w:right w:val="none" w:sz="0" w:space="0" w:color="auto"/>
      </w:divBdr>
      <w:divsChild>
        <w:div w:id="261034685">
          <w:marLeft w:val="0"/>
          <w:marRight w:val="0"/>
          <w:marTop w:val="0"/>
          <w:marBottom w:val="0"/>
          <w:divBdr>
            <w:top w:val="none" w:sz="0" w:space="0" w:color="auto"/>
            <w:left w:val="none" w:sz="0" w:space="0" w:color="auto"/>
            <w:bottom w:val="none" w:sz="0" w:space="0" w:color="auto"/>
            <w:right w:val="none" w:sz="0" w:space="0" w:color="auto"/>
          </w:divBdr>
        </w:div>
        <w:div w:id="1691105431">
          <w:marLeft w:val="0"/>
          <w:marRight w:val="0"/>
          <w:marTop w:val="0"/>
          <w:marBottom w:val="0"/>
          <w:divBdr>
            <w:top w:val="none" w:sz="0" w:space="0" w:color="auto"/>
            <w:left w:val="none" w:sz="0" w:space="0" w:color="auto"/>
            <w:bottom w:val="none" w:sz="0" w:space="0" w:color="auto"/>
            <w:right w:val="none" w:sz="0" w:space="0" w:color="auto"/>
          </w:divBdr>
        </w:div>
        <w:div w:id="342587855">
          <w:marLeft w:val="0"/>
          <w:marRight w:val="0"/>
          <w:marTop w:val="0"/>
          <w:marBottom w:val="0"/>
          <w:divBdr>
            <w:top w:val="none" w:sz="0" w:space="0" w:color="auto"/>
            <w:left w:val="none" w:sz="0" w:space="0" w:color="auto"/>
            <w:bottom w:val="none" w:sz="0" w:space="0" w:color="auto"/>
            <w:right w:val="none" w:sz="0" w:space="0" w:color="auto"/>
          </w:divBdr>
        </w:div>
        <w:div w:id="406537030">
          <w:marLeft w:val="0"/>
          <w:marRight w:val="0"/>
          <w:marTop w:val="0"/>
          <w:marBottom w:val="0"/>
          <w:divBdr>
            <w:top w:val="none" w:sz="0" w:space="0" w:color="auto"/>
            <w:left w:val="none" w:sz="0" w:space="0" w:color="auto"/>
            <w:bottom w:val="none" w:sz="0" w:space="0" w:color="auto"/>
            <w:right w:val="none" w:sz="0" w:space="0" w:color="auto"/>
          </w:divBdr>
        </w:div>
      </w:divsChild>
    </w:div>
    <w:div w:id="229116699">
      <w:bodyDiv w:val="1"/>
      <w:marLeft w:val="0"/>
      <w:marRight w:val="0"/>
      <w:marTop w:val="0"/>
      <w:marBottom w:val="0"/>
      <w:divBdr>
        <w:top w:val="none" w:sz="0" w:space="0" w:color="auto"/>
        <w:left w:val="none" w:sz="0" w:space="0" w:color="auto"/>
        <w:bottom w:val="none" w:sz="0" w:space="0" w:color="auto"/>
        <w:right w:val="none" w:sz="0" w:space="0" w:color="auto"/>
      </w:divBdr>
    </w:div>
    <w:div w:id="325667832">
      <w:bodyDiv w:val="1"/>
      <w:marLeft w:val="0"/>
      <w:marRight w:val="0"/>
      <w:marTop w:val="0"/>
      <w:marBottom w:val="0"/>
      <w:divBdr>
        <w:top w:val="none" w:sz="0" w:space="0" w:color="auto"/>
        <w:left w:val="none" w:sz="0" w:space="0" w:color="auto"/>
        <w:bottom w:val="none" w:sz="0" w:space="0" w:color="auto"/>
        <w:right w:val="none" w:sz="0" w:space="0" w:color="auto"/>
      </w:divBdr>
    </w:div>
    <w:div w:id="327634397">
      <w:bodyDiv w:val="1"/>
      <w:marLeft w:val="0"/>
      <w:marRight w:val="0"/>
      <w:marTop w:val="0"/>
      <w:marBottom w:val="0"/>
      <w:divBdr>
        <w:top w:val="none" w:sz="0" w:space="0" w:color="auto"/>
        <w:left w:val="none" w:sz="0" w:space="0" w:color="auto"/>
        <w:bottom w:val="none" w:sz="0" w:space="0" w:color="auto"/>
        <w:right w:val="none" w:sz="0" w:space="0" w:color="auto"/>
      </w:divBdr>
    </w:div>
    <w:div w:id="360671751">
      <w:bodyDiv w:val="1"/>
      <w:marLeft w:val="0"/>
      <w:marRight w:val="0"/>
      <w:marTop w:val="0"/>
      <w:marBottom w:val="0"/>
      <w:divBdr>
        <w:top w:val="none" w:sz="0" w:space="0" w:color="auto"/>
        <w:left w:val="none" w:sz="0" w:space="0" w:color="auto"/>
        <w:bottom w:val="none" w:sz="0" w:space="0" w:color="auto"/>
        <w:right w:val="none" w:sz="0" w:space="0" w:color="auto"/>
      </w:divBdr>
    </w:div>
    <w:div w:id="580024020">
      <w:bodyDiv w:val="1"/>
      <w:marLeft w:val="0"/>
      <w:marRight w:val="0"/>
      <w:marTop w:val="0"/>
      <w:marBottom w:val="0"/>
      <w:divBdr>
        <w:top w:val="none" w:sz="0" w:space="0" w:color="auto"/>
        <w:left w:val="none" w:sz="0" w:space="0" w:color="auto"/>
        <w:bottom w:val="none" w:sz="0" w:space="0" w:color="auto"/>
        <w:right w:val="none" w:sz="0" w:space="0" w:color="auto"/>
      </w:divBdr>
    </w:div>
    <w:div w:id="605043119">
      <w:bodyDiv w:val="1"/>
      <w:marLeft w:val="0"/>
      <w:marRight w:val="0"/>
      <w:marTop w:val="0"/>
      <w:marBottom w:val="0"/>
      <w:divBdr>
        <w:top w:val="none" w:sz="0" w:space="0" w:color="auto"/>
        <w:left w:val="none" w:sz="0" w:space="0" w:color="auto"/>
        <w:bottom w:val="none" w:sz="0" w:space="0" w:color="auto"/>
        <w:right w:val="none" w:sz="0" w:space="0" w:color="auto"/>
      </w:divBdr>
    </w:div>
    <w:div w:id="688918210">
      <w:bodyDiv w:val="1"/>
      <w:marLeft w:val="0"/>
      <w:marRight w:val="0"/>
      <w:marTop w:val="0"/>
      <w:marBottom w:val="0"/>
      <w:divBdr>
        <w:top w:val="none" w:sz="0" w:space="0" w:color="auto"/>
        <w:left w:val="none" w:sz="0" w:space="0" w:color="auto"/>
        <w:bottom w:val="none" w:sz="0" w:space="0" w:color="auto"/>
        <w:right w:val="none" w:sz="0" w:space="0" w:color="auto"/>
      </w:divBdr>
      <w:divsChild>
        <w:div w:id="1258370668">
          <w:marLeft w:val="-165"/>
          <w:marRight w:val="-165"/>
          <w:marTop w:val="0"/>
          <w:marBottom w:val="0"/>
          <w:divBdr>
            <w:top w:val="none" w:sz="0" w:space="0" w:color="auto"/>
            <w:left w:val="none" w:sz="0" w:space="0" w:color="auto"/>
            <w:bottom w:val="none" w:sz="0" w:space="0" w:color="auto"/>
            <w:right w:val="none" w:sz="0" w:space="0" w:color="auto"/>
          </w:divBdr>
          <w:divsChild>
            <w:div w:id="747732396">
              <w:marLeft w:val="0"/>
              <w:marRight w:val="0"/>
              <w:marTop w:val="0"/>
              <w:marBottom w:val="0"/>
              <w:divBdr>
                <w:top w:val="none" w:sz="0" w:space="0" w:color="auto"/>
                <w:left w:val="none" w:sz="0" w:space="0" w:color="auto"/>
                <w:bottom w:val="none" w:sz="0" w:space="0" w:color="auto"/>
                <w:right w:val="none" w:sz="0" w:space="0" w:color="auto"/>
              </w:divBdr>
              <w:divsChild>
                <w:div w:id="1883321195">
                  <w:marLeft w:val="0"/>
                  <w:marRight w:val="0"/>
                  <w:marTop w:val="0"/>
                  <w:marBottom w:val="0"/>
                  <w:divBdr>
                    <w:top w:val="none" w:sz="0" w:space="0" w:color="auto"/>
                    <w:left w:val="none" w:sz="0" w:space="0" w:color="auto"/>
                    <w:bottom w:val="none" w:sz="0" w:space="0" w:color="auto"/>
                    <w:right w:val="none" w:sz="0" w:space="0" w:color="auto"/>
                  </w:divBdr>
                  <w:divsChild>
                    <w:div w:id="23471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93639">
              <w:marLeft w:val="0"/>
              <w:marRight w:val="0"/>
              <w:marTop w:val="0"/>
              <w:marBottom w:val="0"/>
              <w:divBdr>
                <w:top w:val="none" w:sz="0" w:space="0" w:color="auto"/>
                <w:left w:val="none" w:sz="0" w:space="0" w:color="auto"/>
                <w:bottom w:val="none" w:sz="0" w:space="0" w:color="auto"/>
                <w:right w:val="none" w:sz="0" w:space="0" w:color="auto"/>
              </w:divBdr>
              <w:divsChild>
                <w:div w:id="122271193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694111011">
          <w:marLeft w:val="-165"/>
          <w:marRight w:val="-165"/>
          <w:marTop w:val="0"/>
          <w:marBottom w:val="0"/>
          <w:divBdr>
            <w:top w:val="none" w:sz="0" w:space="0" w:color="auto"/>
            <w:left w:val="none" w:sz="0" w:space="0" w:color="auto"/>
            <w:bottom w:val="none" w:sz="0" w:space="0" w:color="auto"/>
            <w:right w:val="none" w:sz="0" w:space="0" w:color="auto"/>
          </w:divBdr>
          <w:divsChild>
            <w:div w:id="1876959831">
              <w:marLeft w:val="0"/>
              <w:marRight w:val="0"/>
              <w:marTop w:val="300"/>
              <w:marBottom w:val="0"/>
              <w:divBdr>
                <w:top w:val="none" w:sz="0" w:space="0" w:color="auto"/>
                <w:left w:val="none" w:sz="0" w:space="0" w:color="auto"/>
                <w:bottom w:val="none" w:sz="0" w:space="0" w:color="auto"/>
                <w:right w:val="none" w:sz="0" w:space="0" w:color="auto"/>
              </w:divBdr>
            </w:div>
            <w:div w:id="16796915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4037896">
      <w:bodyDiv w:val="1"/>
      <w:marLeft w:val="0"/>
      <w:marRight w:val="0"/>
      <w:marTop w:val="0"/>
      <w:marBottom w:val="0"/>
      <w:divBdr>
        <w:top w:val="none" w:sz="0" w:space="0" w:color="auto"/>
        <w:left w:val="none" w:sz="0" w:space="0" w:color="auto"/>
        <w:bottom w:val="none" w:sz="0" w:space="0" w:color="auto"/>
        <w:right w:val="none" w:sz="0" w:space="0" w:color="auto"/>
      </w:divBdr>
    </w:div>
    <w:div w:id="789058227">
      <w:bodyDiv w:val="1"/>
      <w:marLeft w:val="0"/>
      <w:marRight w:val="0"/>
      <w:marTop w:val="0"/>
      <w:marBottom w:val="0"/>
      <w:divBdr>
        <w:top w:val="none" w:sz="0" w:space="0" w:color="auto"/>
        <w:left w:val="none" w:sz="0" w:space="0" w:color="auto"/>
        <w:bottom w:val="none" w:sz="0" w:space="0" w:color="auto"/>
        <w:right w:val="none" w:sz="0" w:space="0" w:color="auto"/>
      </w:divBdr>
    </w:div>
    <w:div w:id="975839801">
      <w:bodyDiv w:val="1"/>
      <w:marLeft w:val="0"/>
      <w:marRight w:val="0"/>
      <w:marTop w:val="0"/>
      <w:marBottom w:val="0"/>
      <w:divBdr>
        <w:top w:val="none" w:sz="0" w:space="0" w:color="auto"/>
        <w:left w:val="none" w:sz="0" w:space="0" w:color="auto"/>
        <w:bottom w:val="none" w:sz="0" w:space="0" w:color="auto"/>
        <w:right w:val="none" w:sz="0" w:space="0" w:color="auto"/>
      </w:divBdr>
      <w:divsChild>
        <w:div w:id="230123770">
          <w:marLeft w:val="0"/>
          <w:marRight w:val="0"/>
          <w:marTop w:val="0"/>
          <w:marBottom w:val="0"/>
          <w:divBdr>
            <w:top w:val="none" w:sz="0" w:space="0" w:color="auto"/>
            <w:left w:val="none" w:sz="0" w:space="0" w:color="auto"/>
            <w:bottom w:val="none" w:sz="0" w:space="0" w:color="auto"/>
            <w:right w:val="none" w:sz="0" w:space="0" w:color="auto"/>
          </w:divBdr>
          <w:divsChild>
            <w:div w:id="1049650657">
              <w:marLeft w:val="0"/>
              <w:marRight w:val="0"/>
              <w:marTop w:val="0"/>
              <w:marBottom w:val="0"/>
              <w:divBdr>
                <w:top w:val="none" w:sz="0" w:space="0" w:color="auto"/>
                <w:left w:val="none" w:sz="0" w:space="0" w:color="auto"/>
                <w:bottom w:val="none" w:sz="0" w:space="0" w:color="auto"/>
                <w:right w:val="none" w:sz="0" w:space="0" w:color="auto"/>
              </w:divBdr>
              <w:divsChild>
                <w:div w:id="288390938">
                  <w:marLeft w:val="0"/>
                  <w:marRight w:val="0"/>
                  <w:marTop w:val="0"/>
                  <w:marBottom w:val="0"/>
                  <w:divBdr>
                    <w:top w:val="none" w:sz="0" w:space="0" w:color="auto"/>
                    <w:left w:val="none" w:sz="0" w:space="0" w:color="auto"/>
                    <w:bottom w:val="none" w:sz="0" w:space="0" w:color="auto"/>
                    <w:right w:val="none" w:sz="0" w:space="0" w:color="auto"/>
                  </w:divBdr>
                  <w:divsChild>
                    <w:div w:id="246889069">
                      <w:marLeft w:val="0"/>
                      <w:marRight w:val="0"/>
                      <w:marTop w:val="0"/>
                      <w:marBottom w:val="0"/>
                      <w:divBdr>
                        <w:top w:val="none" w:sz="0" w:space="0" w:color="auto"/>
                        <w:left w:val="none" w:sz="0" w:space="0" w:color="auto"/>
                        <w:bottom w:val="none" w:sz="0" w:space="0" w:color="auto"/>
                        <w:right w:val="none" w:sz="0" w:space="0" w:color="auto"/>
                      </w:divBdr>
                      <w:divsChild>
                        <w:div w:id="1730420957">
                          <w:marLeft w:val="0"/>
                          <w:marRight w:val="0"/>
                          <w:marTop w:val="0"/>
                          <w:marBottom w:val="0"/>
                          <w:divBdr>
                            <w:top w:val="none" w:sz="0" w:space="0" w:color="auto"/>
                            <w:left w:val="none" w:sz="0" w:space="0" w:color="auto"/>
                            <w:bottom w:val="none" w:sz="0" w:space="0" w:color="auto"/>
                            <w:right w:val="none" w:sz="0" w:space="0" w:color="auto"/>
                          </w:divBdr>
                          <w:divsChild>
                            <w:div w:id="805005188">
                              <w:marLeft w:val="0"/>
                              <w:marRight w:val="0"/>
                              <w:marTop w:val="0"/>
                              <w:marBottom w:val="0"/>
                              <w:divBdr>
                                <w:top w:val="none" w:sz="0" w:space="0" w:color="auto"/>
                                <w:left w:val="none" w:sz="0" w:space="0" w:color="auto"/>
                                <w:bottom w:val="none" w:sz="0" w:space="0" w:color="auto"/>
                                <w:right w:val="none" w:sz="0" w:space="0" w:color="auto"/>
                              </w:divBdr>
                              <w:divsChild>
                                <w:div w:id="1170171362">
                                  <w:marLeft w:val="0"/>
                                  <w:marRight w:val="0"/>
                                  <w:marTop w:val="0"/>
                                  <w:marBottom w:val="0"/>
                                  <w:divBdr>
                                    <w:top w:val="none" w:sz="0" w:space="0" w:color="auto"/>
                                    <w:left w:val="none" w:sz="0" w:space="0" w:color="auto"/>
                                    <w:bottom w:val="none" w:sz="0" w:space="0" w:color="auto"/>
                                    <w:right w:val="none" w:sz="0" w:space="0" w:color="auto"/>
                                  </w:divBdr>
                                  <w:divsChild>
                                    <w:div w:id="6475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258992">
                          <w:marLeft w:val="0"/>
                          <w:marRight w:val="0"/>
                          <w:marTop w:val="0"/>
                          <w:marBottom w:val="0"/>
                          <w:divBdr>
                            <w:top w:val="none" w:sz="0" w:space="0" w:color="auto"/>
                            <w:left w:val="none" w:sz="0" w:space="0" w:color="auto"/>
                            <w:bottom w:val="none" w:sz="0" w:space="0" w:color="auto"/>
                            <w:right w:val="none" w:sz="0" w:space="0" w:color="auto"/>
                          </w:divBdr>
                          <w:divsChild>
                            <w:div w:id="2090811265">
                              <w:marLeft w:val="0"/>
                              <w:marRight w:val="0"/>
                              <w:marTop w:val="0"/>
                              <w:marBottom w:val="0"/>
                              <w:divBdr>
                                <w:top w:val="none" w:sz="0" w:space="0" w:color="auto"/>
                                <w:left w:val="none" w:sz="0" w:space="0" w:color="auto"/>
                                <w:bottom w:val="none" w:sz="0" w:space="0" w:color="auto"/>
                                <w:right w:val="none" w:sz="0" w:space="0" w:color="auto"/>
                              </w:divBdr>
                              <w:divsChild>
                                <w:div w:id="1451975760">
                                  <w:marLeft w:val="0"/>
                                  <w:marRight w:val="0"/>
                                  <w:marTop w:val="0"/>
                                  <w:marBottom w:val="0"/>
                                  <w:divBdr>
                                    <w:top w:val="none" w:sz="0" w:space="0" w:color="auto"/>
                                    <w:left w:val="none" w:sz="0" w:space="0" w:color="auto"/>
                                    <w:bottom w:val="none" w:sz="0" w:space="0" w:color="auto"/>
                                    <w:right w:val="none" w:sz="0" w:space="0" w:color="auto"/>
                                  </w:divBdr>
                                  <w:divsChild>
                                    <w:div w:id="12834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662074">
          <w:marLeft w:val="0"/>
          <w:marRight w:val="0"/>
          <w:marTop w:val="0"/>
          <w:marBottom w:val="0"/>
          <w:divBdr>
            <w:top w:val="none" w:sz="0" w:space="0" w:color="auto"/>
            <w:left w:val="none" w:sz="0" w:space="0" w:color="auto"/>
            <w:bottom w:val="none" w:sz="0" w:space="0" w:color="auto"/>
            <w:right w:val="none" w:sz="0" w:space="0" w:color="auto"/>
          </w:divBdr>
          <w:divsChild>
            <w:div w:id="1233660547">
              <w:marLeft w:val="0"/>
              <w:marRight w:val="0"/>
              <w:marTop w:val="0"/>
              <w:marBottom w:val="0"/>
              <w:divBdr>
                <w:top w:val="none" w:sz="0" w:space="0" w:color="auto"/>
                <w:left w:val="none" w:sz="0" w:space="0" w:color="auto"/>
                <w:bottom w:val="none" w:sz="0" w:space="0" w:color="auto"/>
                <w:right w:val="none" w:sz="0" w:space="0" w:color="auto"/>
              </w:divBdr>
              <w:divsChild>
                <w:div w:id="1443719824">
                  <w:marLeft w:val="0"/>
                  <w:marRight w:val="0"/>
                  <w:marTop w:val="0"/>
                  <w:marBottom w:val="0"/>
                  <w:divBdr>
                    <w:top w:val="none" w:sz="0" w:space="0" w:color="auto"/>
                    <w:left w:val="none" w:sz="0" w:space="0" w:color="auto"/>
                    <w:bottom w:val="none" w:sz="0" w:space="0" w:color="auto"/>
                    <w:right w:val="none" w:sz="0" w:space="0" w:color="auto"/>
                  </w:divBdr>
                  <w:divsChild>
                    <w:div w:id="1013580235">
                      <w:marLeft w:val="0"/>
                      <w:marRight w:val="0"/>
                      <w:marTop w:val="0"/>
                      <w:marBottom w:val="0"/>
                      <w:divBdr>
                        <w:top w:val="none" w:sz="0" w:space="0" w:color="auto"/>
                        <w:left w:val="none" w:sz="0" w:space="0" w:color="auto"/>
                        <w:bottom w:val="none" w:sz="0" w:space="0" w:color="auto"/>
                        <w:right w:val="none" w:sz="0" w:space="0" w:color="auto"/>
                      </w:divBdr>
                      <w:divsChild>
                        <w:div w:id="1727607179">
                          <w:marLeft w:val="0"/>
                          <w:marRight w:val="0"/>
                          <w:marTop w:val="0"/>
                          <w:marBottom w:val="0"/>
                          <w:divBdr>
                            <w:top w:val="none" w:sz="0" w:space="0" w:color="auto"/>
                            <w:left w:val="none" w:sz="0" w:space="0" w:color="auto"/>
                            <w:bottom w:val="none" w:sz="0" w:space="0" w:color="auto"/>
                            <w:right w:val="none" w:sz="0" w:space="0" w:color="auto"/>
                          </w:divBdr>
                          <w:divsChild>
                            <w:div w:id="261301450">
                              <w:marLeft w:val="0"/>
                              <w:marRight w:val="0"/>
                              <w:marTop w:val="0"/>
                              <w:marBottom w:val="0"/>
                              <w:divBdr>
                                <w:top w:val="none" w:sz="0" w:space="0" w:color="auto"/>
                                <w:left w:val="none" w:sz="0" w:space="0" w:color="auto"/>
                                <w:bottom w:val="none" w:sz="0" w:space="0" w:color="auto"/>
                                <w:right w:val="none" w:sz="0" w:space="0" w:color="auto"/>
                              </w:divBdr>
                              <w:divsChild>
                                <w:div w:id="1070887577">
                                  <w:marLeft w:val="0"/>
                                  <w:marRight w:val="0"/>
                                  <w:marTop w:val="0"/>
                                  <w:marBottom w:val="0"/>
                                  <w:divBdr>
                                    <w:top w:val="none" w:sz="0" w:space="0" w:color="auto"/>
                                    <w:left w:val="none" w:sz="0" w:space="0" w:color="auto"/>
                                    <w:bottom w:val="none" w:sz="0" w:space="0" w:color="auto"/>
                                    <w:right w:val="none" w:sz="0" w:space="0" w:color="auto"/>
                                  </w:divBdr>
                                  <w:divsChild>
                                    <w:div w:id="2026663799">
                                      <w:marLeft w:val="0"/>
                                      <w:marRight w:val="0"/>
                                      <w:marTop w:val="0"/>
                                      <w:marBottom w:val="0"/>
                                      <w:divBdr>
                                        <w:top w:val="none" w:sz="0" w:space="0" w:color="auto"/>
                                        <w:left w:val="none" w:sz="0" w:space="0" w:color="auto"/>
                                        <w:bottom w:val="none" w:sz="0" w:space="0" w:color="auto"/>
                                        <w:right w:val="none" w:sz="0" w:space="0" w:color="auto"/>
                                      </w:divBdr>
                                      <w:divsChild>
                                        <w:div w:id="177420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240953">
          <w:marLeft w:val="0"/>
          <w:marRight w:val="0"/>
          <w:marTop w:val="0"/>
          <w:marBottom w:val="0"/>
          <w:divBdr>
            <w:top w:val="none" w:sz="0" w:space="0" w:color="auto"/>
            <w:left w:val="none" w:sz="0" w:space="0" w:color="auto"/>
            <w:bottom w:val="none" w:sz="0" w:space="0" w:color="auto"/>
            <w:right w:val="none" w:sz="0" w:space="0" w:color="auto"/>
          </w:divBdr>
          <w:divsChild>
            <w:div w:id="739595663">
              <w:marLeft w:val="0"/>
              <w:marRight w:val="0"/>
              <w:marTop w:val="0"/>
              <w:marBottom w:val="0"/>
              <w:divBdr>
                <w:top w:val="none" w:sz="0" w:space="0" w:color="auto"/>
                <w:left w:val="none" w:sz="0" w:space="0" w:color="auto"/>
                <w:bottom w:val="none" w:sz="0" w:space="0" w:color="auto"/>
                <w:right w:val="none" w:sz="0" w:space="0" w:color="auto"/>
              </w:divBdr>
              <w:divsChild>
                <w:div w:id="1152451565">
                  <w:marLeft w:val="0"/>
                  <w:marRight w:val="0"/>
                  <w:marTop w:val="0"/>
                  <w:marBottom w:val="0"/>
                  <w:divBdr>
                    <w:top w:val="none" w:sz="0" w:space="0" w:color="auto"/>
                    <w:left w:val="none" w:sz="0" w:space="0" w:color="auto"/>
                    <w:bottom w:val="none" w:sz="0" w:space="0" w:color="auto"/>
                    <w:right w:val="none" w:sz="0" w:space="0" w:color="auto"/>
                  </w:divBdr>
                  <w:divsChild>
                    <w:div w:id="1798135836">
                      <w:marLeft w:val="0"/>
                      <w:marRight w:val="0"/>
                      <w:marTop w:val="0"/>
                      <w:marBottom w:val="0"/>
                      <w:divBdr>
                        <w:top w:val="none" w:sz="0" w:space="0" w:color="auto"/>
                        <w:left w:val="none" w:sz="0" w:space="0" w:color="auto"/>
                        <w:bottom w:val="none" w:sz="0" w:space="0" w:color="auto"/>
                        <w:right w:val="none" w:sz="0" w:space="0" w:color="auto"/>
                      </w:divBdr>
                      <w:divsChild>
                        <w:div w:id="364061118">
                          <w:marLeft w:val="0"/>
                          <w:marRight w:val="0"/>
                          <w:marTop w:val="0"/>
                          <w:marBottom w:val="0"/>
                          <w:divBdr>
                            <w:top w:val="none" w:sz="0" w:space="0" w:color="auto"/>
                            <w:left w:val="none" w:sz="0" w:space="0" w:color="auto"/>
                            <w:bottom w:val="none" w:sz="0" w:space="0" w:color="auto"/>
                            <w:right w:val="none" w:sz="0" w:space="0" w:color="auto"/>
                          </w:divBdr>
                          <w:divsChild>
                            <w:div w:id="1898664860">
                              <w:marLeft w:val="0"/>
                              <w:marRight w:val="0"/>
                              <w:marTop w:val="0"/>
                              <w:marBottom w:val="0"/>
                              <w:divBdr>
                                <w:top w:val="none" w:sz="0" w:space="0" w:color="auto"/>
                                <w:left w:val="none" w:sz="0" w:space="0" w:color="auto"/>
                                <w:bottom w:val="none" w:sz="0" w:space="0" w:color="auto"/>
                                <w:right w:val="none" w:sz="0" w:space="0" w:color="auto"/>
                              </w:divBdr>
                              <w:divsChild>
                                <w:div w:id="35008438">
                                  <w:marLeft w:val="0"/>
                                  <w:marRight w:val="0"/>
                                  <w:marTop w:val="0"/>
                                  <w:marBottom w:val="0"/>
                                  <w:divBdr>
                                    <w:top w:val="none" w:sz="0" w:space="0" w:color="auto"/>
                                    <w:left w:val="none" w:sz="0" w:space="0" w:color="auto"/>
                                    <w:bottom w:val="none" w:sz="0" w:space="0" w:color="auto"/>
                                    <w:right w:val="none" w:sz="0" w:space="0" w:color="auto"/>
                                  </w:divBdr>
                                  <w:divsChild>
                                    <w:div w:id="96771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408944">
                          <w:marLeft w:val="0"/>
                          <w:marRight w:val="0"/>
                          <w:marTop w:val="0"/>
                          <w:marBottom w:val="0"/>
                          <w:divBdr>
                            <w:top w:val="none" w:sz="0" w:space="0" w:color="auto"/>
                            <w:left w:val="none" w:sz="0" w:space="0" w:color="auto"/>
                            <w:bottom w:val="none" w:sz="0" w:space="0" w:color="auto"/>
                            <w:right w:val="none" w:sz="0" w:space="0" w:color="auto"/>
                          </w:divBdr>
                          <w:divsChild>
                            <w:div w:id="993338743">
                              <w:marLeft w:val="0"/>
                              <w:marRight w:val="0"/>
                              <w:marTop w:val="0"/>
                              <w:marBottom w:val="0"/>
                              <w:divBdr>
                                <w:top w:val="none" w:sz="0" w:space="0" w:color="auto"/>
                                <w:left w:val="none" w:sz="0" w:space="0" w:color="auto"/>
                                <w:bottom w:val="none" w:sz="0" w:space="0" w:color="auto"/>
                                <w:right w:val="none" w:sz="0" w:space="0" w:color="auto"/>
                              </w:divBdr>
                              <w:divsChild>
                                <w:div w:id="1894538248">
                                  <w:marLeft w:val="0"/>
                                  <w:marRight w:val="0"/>
                                  <w:marTop w:val="0"/>
                                  <w:marBottom w:val="0"/>
                                  <w:divBdr>
                                    <w:top w:val="none" w:sz="0" w:space="0" w:color="auto"/>
                                    <w:left w:val="none" w:sz="0" w:space="0" w:color="auto"/>
                                    <w:bottom w:val="none" w:sz="0" w:space="0" w:color="auto"/>
                                    <w:right w:val="none" w:sz="0" w:space="0" w:color="auto"/>
                                  </w:divBdr>
                                  <w:divsChild>
                                    <w:div w:id="28103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803247">
          <w:marLeft w:val="0"/>
          <w:marRight w:val="0"/>
          <w:marTop w:val="0"/>
          <w:marBottom w:val="0"/>
          <w:divBdr>
            <w:top w:val="none" w:sz="0" w:space="0" w:color="auto"/>
            <w:left w:val="none" w:sz="0" w:space="0" w:color="auto"/>
            <w:bottom w:val="none" w:sz="0" w:space="0" w:color="auto"/>
            <w:right w:val="none" w:sz="0" w:space="0" w:color="auto"/>
          </w:divBdr>
          <w:divsChild>
            <w:div w:id="1630699343">
              <w:marLeft w:val="0"/>
              <w:marRight w:val="0"/>
              <w:marTop w:val="0"/>
              <w:marBottom w:val="0"/>
              <w:divBdr>
                <w:top w:val="none" w:sz="0" w:space="0" w:color="auto"/>
                <w:left w:val="none" w:sz="0" w:space="0" w:color="auto"/>
                <w:bottom w:val="none" w:sz="0" w:space="0" w:color="auto"/>
                <w:right w:val="none" w:sz="0" w:space="0" w:color="auto"/>
              </w:divBdr>
              <w:divsChild>
                <w:div w:id="1830437008">
                  <w:marLeft w:val="0"/>
                  <w:marRight w:val="0"/>
                  <w:marTop w:val="0"/>
                  <w:marBottom w:val="0"/>
                  <w:divBdr>
                    <w:top w:val="none" w:sz="0" w:space="0" w:color="auto"/>
                    <w:left w:val="none" w:sz="0" w:space="0" w:color="auto"/>
                    <w:bottom w:val="none" w:sz="0" w:space="0" w:color="auto"/>
                    <w:right w:val="none" w:sz="0" w:space="0" w:color="auto"/>
                  </w:divBdr>
                  <w:divsChild>
                    <w:div w:id="1167749614">
                      <w:marLeft w:val="0"/>
                      <w:marRight w:val="0"/>
                      <w:marTop w:val="0"/>
                      <w:marBottom w:val="0"/>
                      <w:divBdr>
                        <w:top w:val="none" w:sz="0" w:space="0" w:color="auto"/>
                        <w:left w:val="none" w:sz="0" w:space="0" w:color="auto"/>
                        <w:bottom w:val="none" w:sz="0" w:space="0" w:color="auto"/>
                        <w:right w:val="none" w:sz="0" w:space="0" w:color="auto"/>
                      </w:divBdr>
                      <w:divsChild>
                        <w:div w:id="223833367">
                          <w:marLeft w:val="0"/>
                          <w:marRight w:val="0"/>
                          <w:marTop w:val="0"/>
                          <w:marBottom w:val="0"/>
                          <w:divBdr>
                            <w:top w:val="none" w:sz="0" w:space="0" w:color="auto"/>
                            <w:left w:val="none" w:sz="0" w:space="0" w:color="auto"/>
                            <w:bottom w:val="none" w:sz="0" w:space="0" w:color="auto"/>
                            <w:right w:val="none" w:sz="0" w:space="0" w:color="auto"/>
                          </w:divBdr>
                          <w:divsChild>
                            <w:div w:id="1147169706">
                              <w:marLeft w:val="0"/>
                              <w:marRight w:val="0"/>
                              <w:marTop w:val="0"/>
                              <w:marBottom w:val="0"/>
                              <w:divBdr>
                                <w:top w:val="none" w:sz="0" w:space="0" w:color="auto"/>
                                <w:left w:val="none" w:sz="0" w:space="0" w:color="auto"/>
                                <w:bottom w:val="none" w:sz="0" w:space="0" w:color="auto"/>
                                <w:right w:val="none" w:sz="0" w:space="0" w:color="auto"/>
                              </w:divBdr>
                              <w:divsChild>
                                <w:div w:id="1077483006">
                                  <w:marLeft w:val="0"/>
                                  <w:marRight w:val="0"/>
                                  <w:marTop w:val="0"/>
                                  <w:marBottom w:val="0"/>
                                  <w:divBdr>
                                    <w:top w:val="none" w:sz="0" w:space="0" w:color="auto"/>
                                    <w:left w:val="none" w:sz="0" w:space="0" w:color="auto"/>
                                    <w:bottom w:val="none" w:sz="0" w:space="0" w:color="auto"/>
                                    <w:right w:val="none" w:sz="0" w:space="0" w:color="auto"/>
                                  </w:divBdr>
                                  <w:divsChild>
                                    <w:div w:id="1568563759">
                                      <w:marLeft w:val="0"/>
                                      <w:marRight w:val="0"/>
                                      <w:marTop w:val="0"/>
                                      <w:marBottom w:val="0"/>
                                      <w:divBdr>
                                        <w:top w:val="none" w:sz="0" w:space="0" w:color="auto"/>
                                        <w:left w:val="none" w:sz="0" w:space="0" w:color="auto"/>
                                        <w:bottom w:val="none" w:sz="0" w:space="0" w:color="auto"/>
                                        <w:right w:val="none" w:sz="0" w:space="0" w:color="auto"/>
                                      </w:divBdr>
                                      <w:divsChild>
                                        <w:div w:id="10454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397561">
          <w:marLeft w:val="0"/>
          <w:marRight w:val="0"/>
          <w:marTop w:val="0"/>
          <w:marBottom w:val="0"/>
          <w:divBdr>
            <w:top w:val="none" w:sz="0" w:space="0" w:color="auto"/>
            <w:left w:val="none" w:sz="0" w:space="0" w:color="auto"/>
            <w:bottom w:val="none" w:sz="0" w:space="0" w:color="auto"/>
            <w:right w:val="none" w:sz="0" w:space="0" w:color="auto"/>
          </w:divBdr>
          <w:divsChild>
            <w:div w:id="1296332911">
              <w:marLeft w:val="0"/>
              <w:marRight w:val="0"/>
              <w:marTop w:val="0"/>
              <w:marBottom w:val="0"/>
              <w:divBdr>
                <w:top w:val="none" w:sz="0" w:space="0" w:color="auto"/>
                <w:left w:val="none" w:sz="0" w:space="0" w:color="auto"/>
                <w:bottom w:val="none" w:sz="0" w:space="0" w:color="auto"/>
                <w:right w:val="none" w:sz="0" w:space="0" w:color="auto"/>
              </w:divBdr>
              <w:divsChild>
                <w:div w:id="1149052746">
                  <w:marLeft w:val="0"/>
                  <w:marRight w:val="0"/>
                  <w:marTop w:val="0"/>
                  <w:marBottom w:val="0"/>
                  <w:divBdr>
                    <w:top w:val="none" w:sz="0" w:space="0" w:color="auto"/>
                    <w:left w:val="none" w:sz="0" w:space="0" w:color="auto"/>
                    <w:bottom w:val="none" w:sz="0" w:space="0" w:color="auto"/>
                    <w:right w:val="none" w:sz="0" w:space="0" w:color="auto"/>
                  </w:divBdr>
                  <w:divsChild>
                    <w:div w:id="1882132479">
                      <w:marLeft w:val="0"/>
                      <w:marRight w:val="0"/>
                      <w:marTop w:val="0"/>
                      <w:marBottom w:val="0"/>
                      <w:divBdr>
                        <w:top w:val="none" w:sz="0" w:space="0" w:color="auto"/>
                        <w:left w:val="none" w:sz="0" w:space="0" w:color="auto"/>
                        <w:bottom w:val="none" w:sz="0" w:space="0" w:color="auto"/>
                        <w:right w:val="none" w:sz="0" w:space="0" w:color="auto"/>
                      </w:divBdr>
                      <w:divsChild>
                        <w:div w:id="1538271541">
                          <w:marLeft w:val="0"/>
                          <w:marRight w:val="0"/>
                          <w:marTop w:val="0"/>
                          <w:marBottom w:val="0"/>
                          <w:divBdr>
                            <w:top w:val="none" w:sz="0" w:space="0" w:color="auto"/>
                            <w:left w:val="none" w:sz="0" w:space="0" w:color="auto"/>
                            <w:bottom w:val="none" w:sz="0" w:space="0" w:color="auto"/>
                            <w:right w:val="none" w:sz="0" w:space="0" w:color="auto"/>
                          </w:divBdr>
                          <w:divsChild>
                            <w:div w:id="887571299">
                              <w:marLeft w:val="0"/>
                              <w:marRight w:val="0"/>
                              <w:marTop w:val="0"/>
                              <w:marBottom w:val="0"/>
                              <w:divBdr>
                                <w:top w:val="none" w:sz="0" w:space="0" w:color="auto"/>
                                <w:left w:val="none" w:sz="0" w:space="0" w:color="auto"/>
                                <w:bottom w:val="none" w:sz="0" w:space="0" w:color="auto"/>
                                <w:right w:val="none" w:sz="0" w:space="0" w:color="auto"/>
                              </w:divBdr>
                              <w:divsChild>
                                <w:div w:id="474224026">
                                  <w:marLeft w:val="0"/>
                                  <w:marRight w:val="0"/>
                                  <w:marTop w:val="0"/>
                                  <w:marBottom w:val="0"/>
                                  <w:divBdr>
                                    <w:top w:val="none" w:sz="0" w:space="0" w:color="auto"/>
                                    <w:left w:val="none" w:sz="0" w:space="0" w:color="auto"/>
                                    <w:bottom w:val="none" w:sz="0" w:space="0" w:color="auto"/>
                                    <w:right w:val="none" w:sz="0" w:space="0" w:color="auto"/>
                                  </w:divBdr>
                                  <w:divsChild>
                                    <w:div w:id="38996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989139">
      <w:bodyDiv w:val="1"/>
      <w:marLeft w:val="0"/>
      <w:marRight w:val="0"/>
      <w:marTop w:val="0"/>
      <w:marBottom w:val="0"/>
      <w:divBdr>
        <w:top w:val="none" w:sz="0" w:space="0" w:color="auto"/>
        <w:left w:val="none" w:sz="0" w:space="0" w:color="auto"/>
        <w:bottom w:val="none" w:sz="0" w:space="0" w:color="auto"/>
        <w:right w:val="none" w:sz="0" w:space="0" w:color="auto"/>
      </w:divBdr>
    </w:div>
    <w:div w:id="1020399129">
      <w:bodyDiv w:val="1"/>
      <w:marLeft w:val="0"/>
      <w:marRight w:val="0"/>
      <w:marTop w:val="0"/>
      <w:marBottom w:val="0"/>
      <w:divBdr>
        <w:top w:val="none" w:sz="0" w:space="0" w:color="auto"/>
        <w:left w:val="none" w:sz="0" w:space="0" w:color="auto"/>
        <w:bottom w:val="none" w:sz="0" w:space="0" w:color="auto"/>
        <w:right w:val="none" w:sz="0" w:space="0" w:color="auto"/>
      </w:divBdr>
    </w:div>
    <w:div w:id="1060176985">
      <w:bodyDiv w:val="1"/>
      <w:marLeft w:val="0"/>
      <w:marRight w:val="0"/>
      <w:marTop w:val="0"/>
      <w:marBottom w:val="0"/>
      <w:divBdr>
        <w:top w:val="none" w:sz="0" w:space="0" w:color="auto"/>
        <w:left w:val="none" w:sz="0" w:space="0" w:color="auto"/>
        <w:bottom w:val="none" w:sz="0" w:space="0" w:color="auto"/>
        <w:right w:val="none" w:sz="0" w:space="0" w:color="auto"/>
      </w:divBdr>
    </w:div>
    <w:div w:id="1090859203">
      <w:bodyDiv w:val="1"/>
      <w:marLeft w:val="0"/>
      <w:marRight w:val="0"/>
      <w:marTop w:val="0"/>
      <w:marBottom w:val="0"/>
      <w:divBdr>
        <w:top w:val="none" w:sz="0" w:space="0" w:color="auto"/>
        <w:left w:val="none" w:sz="0" w:space="0" w:color="auto"/>
        <w:bottom w:val="none" w:sz="0" w:space="0" w:color="auto"/>
        <w:right w:val="none" w:sz="0" w:space="0" w:color="auto"/>
      </w:divBdr>
    </w:div>
    <w:div w:id="1093041794">
      <w:bodyDiv w:val="1"/>
      <w:marLeft w:val="0"/>
      <w:marRight w:val="0"/>
      <w:marTop w:val="0"/>
      <w:marBottom w:val="0"/>
      <w:divBdr>
        <w:top w:val="none" w:sz="0" w:space="0" w:color="auto"/>
        <w:left w:val="none" w:sz="0" w:space="0" w:color="auto"/>
        <w:bottom w:val="none" w:sz="0" w:space="0" w:color="auto"/>
        <w:right w:val="none" w:sz="0" w:space="0" w:color="auto"/>
      </w:divBdr>
    </w:div>
    <w:div w:id="1157649181">
      <w:bodyDiv w:val="1"/>
      <w:marLeft w:val="0"/>
      <w:marRight w:val="0"/>
      <w:marTop w:val="0"/>
      <w:marBottom w:val="0"/>
      <w:divBdr>
        <w:top w:val="none" w:sz="0" w:space="0" w:color="auto"/>
        <w:left w:val="none" w:sz="0" w:space="0" w:color="auto"/>
        <w:bottom w:val="none" w:sz="0" w:space="0" w:color="auto"/>
        <w:right w:val="none" w:sz="0" w:space="0" w:color="auto"/>
      </w:divBdr>
    </w:div>
    <w:div w:id="1164320674">
      <w:bodyDiv w:val="1"/>
      <w:marLeft w:val="0"/>
      <w:marRight w:val="0"/>
      <w:marTop w:val="0"/>
      <w:marBottom w:val="0"/>
      <w:divBdr>
        <w:top w:val="none" w:sz="0" w:space="0" w:color="auto"/>
        <w:left w:val="none" w:sz="0" w:space="0" w:color="auto"/>
        <w:bottom w:val="none" w:sz="0" w:space="0" w:color="auto"/>
        <w:right w:val="none" w:sz="0" w:space="0" w:color="auto"/>
      </w:divBdr>
    </w:div>
    <w:div w:id="1250427064">
      <w:bodyDiv w:val="1"/>
      <w:marLeft w:val="0"/>
      <w:marRight w:val="0"/>
      <w:marTop w:val="0"/>
      <w:marBottom w:val="0"/>
      <w:divBdr>
        <w:top w:val="none" w:sz="0" w:space="0" w:color="auto"/>
        <w:left w:val="none" w:sz="0" w:space="0" w:color="auto"/>
        <w:bottom w:val="none" w:sz="0" w:space="0" w:color="auto"/>
        <w:right w:val="none" w:sz="0" w:space="0" w:color="auto"/>
      </w:divBdr>
    </w:div>
    <w:div w:id="1432041724">
      <w:bodyDiv w:val="1"/>
      <w:marLeft w:val="0"/>
      <w:marRight w:val="0"/>
      <w:marTop w:val="0"/>
      <w:marBottom w:val="0"/>
      <w:divBdr>
        <w:top w:val="none" w:sz="0" w:space="0" w:color="auto"/>
        <w:left w:val="none" w:sz="0" w:space="0" w:color="auto"/>
        <w:bottom w:val="none" w:sz="0" w:space="0" w:color="auto"/>
        <w:right w:val="none" w:sz="0" w:space="0" w:color="auto"/>
      </w:divBdr>
    </w:div>
    <w:div w:id="1455833390">
      <w:bodyDiv w:val="1"/>
      <w:marLeft w:val="0"/>
      <w:marRight w:val="0"/>
      <w:marTop w:val="0"/>
      <w:marBottom w:val="0"/>
      <w:divBdr>
        <w:top w:val="none" w:sz="0" w:space="0" w:color="auto"/>
        <w:left w:val="none" w:sz="0" w:space="0" w:color="auto"/>
        <w:bottom w:val="none" w:sz="0" w:space="0" w:color="auto"/>
        <w:right w:val="none" w:sz="0" w:space="0" w:color="auto"/>
      </w:divBdr>
    </w:div>
    <w:div w:id="1479951783">
      <w:bodyDiv w:val="1"/>
      <w:marLeft w:val="0"/>
      <w:marRight w:val="0"/>
      <w:marTop w:val="0"/>
      <w:marBottom w:val="0"/>
      <w:divBdr>
        <w:top w:val="none" w:sz="0" w:space="0" w:color="auto"/>
        <w:left w:val="none" w:sz="0" w:space="0" w:color="auto"/>
        <w:bottom w:val="none" w:sz="0" w:space="0" w:color="auto"/>
        <w:right w:val="none" w:sz="0" w:space="0" w:color="auto"/>
      </w:divBdr>
    </w:div>
    <w:div w:id="1511413468">
      <w:bodyDiv w:val="1"/>
      <w:marLeft w:val="0"/>
      <w:marRight w:val="0"/>
      <w:marTop w:val="0"/>
      <w:marBottom w:val="0"/>
      <w:divBdr>
        <w:top w:val="none" w:sz="0" w:space="0" w:color="auto"/>
        <w:left w:val="none" w:sz="0" w:space="0" w:color="auto"/>
        <w:bottom w:val="none" w:sz="0" w:space="0" w:color="auto"/>
        <w:right w:val="none" w:sz="0" w:space="0" w:color="auto"/>
      </w:divBdr>
    </w:div>
    <w:div w:id="1582788733">
      <w:bodyDiv w:val="1"/>
      <w:marLeft w:val="0"/>
      <w:marRight w:val="0"/>
      <w:marTop w:val="0"/>
      <w:marBottom w:val="0"/>
      <w:divBdr>
        <w:top w:val="none" w:sz="0" w:space="0" w:color="auto"/>
        <w:left w:val="none" w:sz="0" w:space="0" w:color="auto"/>
        <w:bottom w:val="none" w:sz="0" w:space="0" w:color="auto"/>
        <w:right w:val="none" w:sz="0" w:space="0" w:color="auto"/>
      </w:divBdr>
    </w:div>
    <w:div w:id="1624769503">
      <w:bodyDiv w:val="1"/>
      <w:marLeft w:val="0"/>
      <w:marRight w:val="0"/>
      <w:marTop w:val="0"/>
      <w:marBottom w:val="0"/>
      <w:divBdr>
        <w:top w:val="none" w:sz="0" w:space="0" w:color="auto"/>
        <w:left w:val="none" w:sz="0" w:space="0" w:color="auto"/>
        <w:bottom w:val="none" w:sz="0" w:space="0" w:color="auto"/>
        <w:right w:val="none" w:sz="0" w:space="0" w:color="auto"/>
      </w:divBdr>
    </w:div>
    <w:div w:id="1637685253">
      <w:bodyDiv w:val="1"/>
      <w:marLeft w:val="0"/>
      <w:marRight w:val="0"/>
      <w:marTop w:val="0"/>
      <w:marBottom w:val="0"/>
      <w:divBdr>
        <w:top w:val="none" w:sz="0" w:space="0" w:color="auto"/>
        <w:left w:val="none" w:sz="0" w:space="0" w:color="auto"/>
        <w:bottom w:val="none" w:sz="0" w:space="0" w:color="auto"/>
        <w:right w:val="none" w:sz="0" w:space="0" w:color="auto"/>
      </w:divBdr>
    </w:div>
    <w:div w:id="1653831914">
      <w:bodyDiv w:val="1"/>
      <w:marLeft w:val="0"/>
      <w:marRight w:val="0"/>
      <w:marTop w:val="0"/>
      <w:marBottom w:val="0"/>
      <w:divBdr>
        <w:top w:val="none" w:sz="0" w:space="0" w:color="auto"/>
        <w:left w:val="none" w:sz="0" w:space="0" w:color="auto"/>
        <w:bottom w:val="none" w:sz="0" w:space="0" w:color="auto"/>
        <w:right w:val="none" w:sz="0" w:space="0" w:color="auto"/>
      </w:divBdr>
      <w:divsChild>
        <w:div w:id="343364037">
          <w:marLeft w:val="0"/>
          <w:marRight w:val="0"/>
          <w:marTop w:val="15"/>
          <w:marBottom w:val="0"/>
          <w:divBdr>
            <w:top w:val="single" w:sz="48" w:space="0" w:color="auto"/>
            <w:left w:val="single" w:sz="48" w:space="0" w:color="auto"/>
            <w:bottom w:val="single" w:sz="48" w:space="0" w:color="auto"/>
            <w:right w:val="single" w:sz="48" w:space="0" w:color="auto"/>
          </w:divBdr>
          <w:divsChild>
            <w:div w:id="387846179">
              <w:marLeft w:val="0"/>
              <w:marRight w:val="0"/>
              <w:marTop w:val="0"/>
              <w:marBottom w:val="0"/>
              <w:divBdr>
                <w:top w:val="none" w:sz="0" w:space="0" w:color="auto"/>
                <w:left w:val="none" w:sz="0" w:space="0" w:color="auto"/>
                <w:bottom w:val="none" w:sz="0" w:space="0" w:color="auto"/>
                <w:right w:val="none" w:sz="0" w:space="0" w:color="auto"/>
              </w:divBdr>
              <w:divsChild>
                <w:div w:id="287513576">
                  <w:marLeft w:val="0"/>
                  <w:marRight w:val="0"/>
                  <w:marTop w:val="0"/>
                  <w:marBottom w:val="0"/>
                  <w:divBdr>
                    <w:top w:val="none" w:sz="0" w:space="0" w:color="auto"/>
                    <w:left w:val="none" w:sz="0" w:space="0" w:color="auto"/>
                    <w:bottom w:val="none" w:sz="0" w:space="0" w:color="auto"/>
                    <w:right w:val="none" w:sz="0" w:space="0" w:color="auto"/>
                  </w:divBdr>
                </w:div>
                <w:div w:id="696582469">
                  <w:marLeft w:val="0"/>
                  <w:marRight w:val="0"/>
                  <w:marTop w:val="0"/>
                  <w:marBottom w:val="0"/>
                  <w:divBdr>
                    <w:top w:val="none" w:sz="0" w:space="0" w:color="auto"/>
                    <w:left w:val="none" w:sz="0" w:space="0" w:color="auto"/>
                    <w:bottom w:val="none" w:sz="0" w:space="0" w:color="auto"/>
                    <w:right w:val="none" w:sz="0" w:space="0" w:color="auto"/>
                  </w:divBdr>
                </w:div>
                <w:div w:id="1046562816">
                  <w:marLeft w:val="0"/>
                  <w:marRight w:val="0"/>
                  <w:marTop w:val="0"/>
                  <w:marBottom w:val="0"/>
                  <w:divBdr>
                    <w:top w:val="none" w:sz="0" w:space="0" w:color="auto"/>
                    <w:left w:val="none" w:sz="0" w:space="0" w:color="auto"/>
                    <w:bottom w:val="none" w:sz="0" w:space="0" w:color="auto"/>
                    <w:right w:val="none" w:sz="0" w:space="0" w:color="auto"/>
                  </w:divBdr>
                </w:div>
                <w:div w:id="13121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39943">
      <w:bodyDiv w:val="1"/>
      <w:marLeft w:val="0"/>
      <w:marRight w:val="0"/>
      <w:marTop w:val="0"/>
      <w:marBottom w:val="0"/>
      <w:divBdr>
        <w:top w:val="none" w:sz="0" w:space="0" w:color="auto"/>
        <w:left w:val="none" w:sz="0" w:space="0" w:color="auto"/>
        <w:bottom w:val="none" w:sz="0" w:space="0" w:color="auto"/>
        <w:right w:val="none" w:sz="0" w:space="0" w:color="auto"/>
      </w:divBdr>
    </w:div>
    <w:div w:id="1726178080">
      <w:bodyDiv w:val="1"/>
      <w:marLeft w:val="0"/>
      <w:marRight w:val="0"/>
      <w:marTop w:val="0"/>
      <w:marBottom w:val="0"/>
      <w:divBdr>
        <w:top w:val="none" w:sz="0" w:space="0" w:color="auto"/>
        <w:left w:val="none" w:sz="0" w:space="0" w:color="auto"/>
        <w:bottom w:val="none" w:sz="0" w:space="0" w:color="auto"/>
        <w:right w:val="none" w:sz="0" w:space="0" w:color="auto"/>
      </w:divBdr>
    </w:div>
    <w:div w:id="1742362434">
      <w:bodyDiv w:val="1"/>
      <w:marLeft w:val="0"/>
      <w:marRight w:val="0"/>
      <w:marTop w:val="0"/>
      <w:marBottom w:val="0"/>
      <w:divBdr>
        <w:top w:val="none" w:sz="0" w:space="0" w:color="auto"/>
        <w:left w:val="none" w:sz="0" w:space="0" w:color="auto"/>
        <w:bottom w:val="none" w:sz="0" w:space="0" w:color="auto"/>
        <w:right w:val="none" w:sz="0" w:space="0" w:color="auto"/>
      </w:divBdr>
      <w:divsChild>
        <w:div w:id="1645117065">
          <w:marLeft w:val="0"/>
          <w:marRight w:val="0"/>
          <w:marTop w:val="0"/>
          <w:marBottom w:val="0"/>
          <w:divBdr>
            <w:top w:val="none" w:sz="0" w:space="0" w:color="auto"/>
            <w:left w:val="none" w:sz="0" w:space="0" w:color="auto"/>
            <w:bottom w:val="none" w:sz="0" w:space="0" w:color="auto"/>
            <w:right w:val="none" w:sz="0" w:space="0" w:color="auto"/>
          </w:divBdr>
        </w:div>
        <w:div w:id="2010251867">
          <w:marLeft w:val="0"/>
          <w:marRight w:val="0"/>
          <w:marTop w:val="0"/>
          <w:marBottom w:val="0"/>
          <w:divBdr>
            <w:top w:val="none" w:sz="0" w:space="0" w:color="auto"/>
            <w:left w:val="none" w:sz="0" w:space="0" w:color="auto"/>
            <w:bottom w:val="none" w:sz="0" w:space="0" w:color="auto"/>
            <w:right w:val="none" w:sz="0" w:space="0" w:color="auto"/>
          </w:divBdr>
        </w:div>
      </w:divsChild>
    </w:div>
    <w:div w:id="1754206839">
      <w:bodyDiv w:val="1"/>
      <w:marLeft w:val="0"/>
      <w:marRight w:val="0"/>
      <w:marTop w:val="0"/>
      <w:marBottom w:val="0"/>
      <w:divBdr>
        <w:top w:val="none" w:sz="0" w:space="0" w:color="auto"/>
        <w:left w:val="none" w:sz="0" w:space="0" w:color="auto"/>
        <w:bottom w:val="none" w:sz="0" w:space="0" w:color="auto"/>
        <w:right w:val="none" w:sz="0" w:space="0" w:color="auto"/>
      </w:divBdr>
    </w:div>
    <w:div w:id="1816213992">
      <w:bodyDiv w:val="1"/>
      <w:marLeft w:val="0"/>
      <w:marRight w:val="0"/>
      <w:marTop w:val="0"/>
      <w:marBottom w:val="0"/>
      <w:divBdr>
        <w:top w:val="none" w:sz="0" w:space="0" w:color="auto"/>
        <w:left w:val="none" w:sz="0" w:space="0" w:color="auto"/>
        <w:bottom w:val="none" w:sz="0" w:space="0" w:color="auto"/>
        <w:right w:val="none" w:sz="0" w:space="0" w:color="auto"/>
      </w:divBdr>
    </w:div>
    <w:div w:id="1830754614">
      <w:bodyDiv w:val="1"/>
      <w:marLeft w:val="0"/>
      <w:marRight w:val="0"/>
      <w:marTop w:val="0"/>
      <w:marBottom w:val="0"/>
      <w:divBdr>
        <w:top w:val="none" w:sz="0" w:space="0" w:color="auto"/>
        <w:left w:val="none" w:sz="0" w:space="0" w:color="auto"/>
        <w:bottom w:val="none" w:sz="0" w:space="0" w:color="auto"/>
        <w:right w:val="none" w:sz="0" w:space="0" w:color="auto"/>
      </w:divBdr>
      <w:divsChild>
        <w:div w:id="1758475622">
          <w:marLeft w:val="0"/>
          <w:marRight w:val="0"/>
          <w:marTop w:val="15"/>
          <w:marBottom w:val="0"/>
          <w:divBdr>
            <w:top w:val="single" w:sz="48" w:space="0" w:color="auto"/>
            <w:left w:val="single" w:sz="48" w:space="0" w:color="auto"/>
            <w:bottom w:val="single" w:sz="48" w:space="0" w:color="auto"/>
            <w:right w:val="single" w:sz="48" w:space="0" w:color="auto"/>
          </w:divBdr>
          <w:divsChild>
            <w:div w:id="433936199">
              <w:marLeft w:val="0"/>
              <w:marRight w:val="0"/>
              <w:marTop w:val="0"/>
              <w:marBottom w:val="0"/>
              <w:divBdr>
                <w:top w:val="none" w:sz="0" w:space="0" w:color="auto"/>
                <w:left w:val="none" w:sz="0" w:space="0" w:color="auto"/>
                <w:bottom w:val="none" w:sz="0" w:space="0" w:color="auto"/>
                <w:right w:val="none" w:sz="0" w:space="0" w:color="auto"/>
              </w:divBdr>
              <w:divsChild>
                <w:div w:id="220679675">
                  <w:marLeft w:val="0"/>
                  <w:marRight w:val="0"/>
                  <w:marTop w:val="0"/>
                  <w:marBottom w:val="0"/>
                  <w:divBdr>
                    <w:top w:val="none" w:sz="0" w:space="0" w:color="auto"/>
                    <w:left w:val="none" w:sz="0" w:space="0" w:color="auto"/>
                    <w:bottom w:val="none" w:sz="0" w:space="0" w:color="auto"/>
                    <w:right w:val="none" w:sz="0" w:space="0" w:color="auto"/>
                  </w:divBdr>
                </w:div>
                <w:div w:id="852305012">
                  <w:marLeft w:val="0"/>
                  <w:marRight w:val="0"/>
                  <w:marTop w:val="0"/>
                  <w:marBottom w:val="0"/>
                  <w:divBdr>
                    <w:top w:val="none" w:sz="0" w:space="0" w:color="auto"/>
                    <w:left w:val="none" w:sz="0" w:space="0" w:color="auto"/>
                    <w:bottom w:val="none" w:sz="0" w:space="0" w:color="auto"/>
                    <w:right w:val="none" w:sz="0" w:space="0" w:color="auto"/>
                  </w:divBdr>
                </w:div>
                <w:div w:id="38870867">
                  <w:marLeft w:val="0"/>
                  <w:marRight w:val="0"/>
                  <w:marTop w:val="0"/>
                  <w:marBottom w:val="0"/>
                  <w:divBdr>
                    <w:top w:val="none" w:sz="0" w:space="0" w:color="auto"/>
                    <w:left w:val="none" w:sz="0" w:space="0" w:color="auto"/>
                    <w:bottom w:val="none" w:sz="0" w:space="0" w:color="auto"/>
                    <w:right w:val="none" w:sz="0" w:space="0" w:color="auto"/>
                  </w:divBdr>
                </w:div>
                <w:div w:id="136363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53408">
      <w:bodyDiv w:val="1"/>
      <w:marLeft w:val="0"/>
      <w:marRight w:val="0"/>
      <w:marTop w:val="0"/>
      <w:marBottom w:val="0"/>
      <w:divBdr>
        <w:top w:val="none" w:sz="0" w:space="0" w:color="auto"/>
        <w:left w:val="none" w:sz="0" w:space="0" w:color="auto"/>
        <w:bottom w:val="none" w:sz="0" w:space="0" w:color="auto"/>
        <w:right w:val="none" w:sz="0" w:space="0" w:color="auto"/>
      </w:divBdr>
    </w:div>
    <w:div w:id="1925604333">
      <w:bodyDiv w:val="1"/>
      <w:marLeft w:val="0"/>
      <w:marRight w:val="0"/>
      <w:marTop w:val="0"/>
      <w:marBottom w:val="0"/>
      <w:divBdr>
        <w:top w:val="none" w:sz="0" w:space="0" w:color="auto"/>
        <w:left w:val="none" w:sz="0" w:space="0" w:color="auto"/>
        <w:bottom w:val="none" w:sz="0" w:space="0" w:color="auto"/>
        <w:right w:val="none" w:sz="0" w:space="0" w:color="auto"/>
      </w:divBdr>
    </w:div>
    <w:div w:id="2012222221">
      <w:bodyDiv w:val="1"/>
      <w:marLeft w:val="0"/>
      <w:marRight w:val="0"/>
      <w:marTop w:val="0"/>
      <w:marBottom w:val="0"/>
      <w:divBdr>
        <w:top w:val="none" w:sz="0" w:space="0" w:color="auto"/>
        <w:left w:val="none" w:sz="0" w:space="0" w:color="auto"/>
        <w:bottom w:val="none" w:sz="0" w:space="0" w:color="auto"/>
        <w:right w:val="none" w:sz="0" w:space="0" w:color="auto"/>
      </w:divBdr>
    </w:div>
    <w:div w:id="2089646477">
      <w:bodyDiv w:val="1"/>
      <w:marLeft w:val="0"/>
      <w:marRight w:val="0"/>
      <w:marTop w:val="0"/>
      <w:marBottom w:val="0"/>
      <w:divBdr>
        <w:top w:val="none" w:sz="0" w:space="0" w:color="auto"/>
        <w:left w:val="none" w:sz="0" w:space="0" w:color="auto"/>
        <w:bottom w:val="none" w:sz="0" w:space="0" w:color="auto"/>
        <w:right w:val="none" w:sz="0" w:space="0" w:color="auto"/>
      </w:divBdr>
    </w:div>
    <w:div w:id="213316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amnesty.org/fr/documents/eur14/5504/2020/fr/" TargetMode="External"/><Relationship Id="rId18" Type="http://schemas.openxmlformats.org/officeDocument/2006/relationships/hyperlink" Target="https://apps.who.int/iris/rest/bitstreams/1336324/retriev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amnesty.org/en/latest/campaigns/2024/06/amnesty-international-launches-new-campaign-to-protect-human-rights-in-older-age/" TargetMode="External"/><Relationship Id="rId17" Type="http://schemas.openxmlformats.org/officeDocument/2006/relationships/hyperlink" Target="https://www.ohchr.org/en/instruments-mechanisms/instruments/convention-rights-persons-disabilities" TargetMode="External"/><Relationship Id="rId2" Type="http://schemas.openxmlformats.org/officeDocument/2006/relationships/numbering" Target="numbering.xml"/><Relationship Id="rId16" Type="http://schemas.openxmlformats.org/officeDocument/2006/relationships/hyperlink" Target="https://doi.org/10.3917/gs1.157.015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s://doi.org/10.7202/1108106ar" TargetMode="Externa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doi.org/10.7202/1108107ar"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viriot2\Downloads\Graphique%20Design%20citoyen%20V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viriot2\Downloads\Graphique%20Design%20citoyen%20V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viriot2\Downloads\Graphique%20Design%20citoyen%20V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viriot2\Downloads\Graphique%20Design%20citoyen%20V2.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 sz="1200" b="1" i="0" u="none" strike="noStrike" baseline="0"/>
              <a:t>Desglose por categorías socioprofesionales (grupo Ayuntamiento) (N=18)</a:t>
            </a:r>
            <a:endParaRPr lang="fr-FR" sz="120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r-FR"/>
        </a:p>
      </c:txPr>
    </c:title>
    <c:autoTitleDeleted val="0"/>
    <c:pivotFmts>
      <c:pivotFmt>
        <c:idx val="0"/>
        <c:spPr>
          <a:solidFill>
            <a:schemeClr val="accent1"/>
          </a:solidFill>
          <a:ln>
            <a:noFill/>
          </a:ln>
          <a:effectLst>
            <a:outerShdw blurRad="254000" sx="102000" sy="102000" algn="ctr" rotWithShape="0">
              <a:prstClr val="black">
                <a:alpha val="20000"/>
              </a:prstClr>
            </a:outerShdw>
          </a:effectLst>
        </c:spPr>
        <c:marker>
          <c:symbol val="circle"/>
          <c:size val="6"/>
        </c:marker>
        <c:dLbl>
          <c:idx val="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1"/>
        <c:spPr>
          <a:solidFill>
            <a:schemeClr val="accent1"/>
          </a:solidFill>
          <a:ln>
            <a:noFill/>
          </a:ln>
          <a:effectLst>
            <a:outerShdw blurRad="254000" sx="102000" sy="102000" algn="ctr" rotWithShape="0">
              <a:prstClr val="black">
                <a:alpha val="20000"/>
              </a:prstClr>
            </a:outerShdw>
          </a:effectLst>
        </c:spPr>
        <c:marker>
          <c:symbol val="none"/>
        </c:marker>
        <c:dLbl>
          <c:idx val="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solidFill>
          <a:ln>
            <a:noFill/>
          </a:ln>
          <a:effectLst>
            <a:outerShdw blurRad="254000" sx="102000" sy="102000" algn="ctr" rotWithShape="0">
              <a:prstClr val="black">
                <a:alpha val="20000"/>
              </a:prstClr>
            </a:outerShdw>
          </a:effectLst>
        </c:spPr>
      </c:pivotFmt>
      <c:pivotFmt>
        <c:idx val="3"/>
        <c:spPr>
          <a:solidFill>
            <a:schemeClr val="accent1"/>
          </a:solidFill>
          <a:ln>
            <a:noFill/>
          </a:ln>
          <a:effectLst>
            <a:outerShdw blurRad="254000" sx="102000" sy="102000" algn="ctr" rotWithShape="0">
              <a:prstClr val="black">
                <a:alpha val="20000"/>
              </a:prstClr>
            </a:outerShdw>
          </a:effectLst>
        </c:spPr>
      </c:pivotFmt>
      <c:pivotFmt>
        <c:idx val="4"/>
        <c:spPr>
          <a:solidFill>
            <a:schemeClr val="accent1"/>
          </a:solidFill>
          <a:ln>
            <a:noFill/>
          </a:ln>
          <a:effectLst>
            <a:outerShdw blurRad="254000" sx="102000" sy="102000" algn="ctr" rotWithShape="0">
              <a:prstClr val="black">
                <a:alpha val="20000"/>
              </a:prstClr>
            </a:outerShdw>
          </a:effectLst>
        </c:spPr>
      </c:pivotFmt>
      <c:pivotFmt>
        <c:idx val="5"/>
        <c:spPr>
          <a:solidFill>
            <a:schemeClr val="accent1"/>
          </a:solidFill>
          <a:ln>
            <a:noFill/>
          </a:ln>
          <a:effectLst>
            <a:outerShdw blurRad="254000" sx="102000" sy="102000" algn="ctr" rotWithShape="0">
              <a:prstClr val="black">
                <a:alpha val="20000"/>
              </a:prstClr>
            </a:outerShdw>
          </a:effectLst>
        </c:spPr>
      </c:pivotFmt>
      <c:pivotFmt>
        <c:idx val="6"/>
        <c:spPr>
          <a:solidFill>
            <a:schemeClr val="accent1"/>
          </a:solidFill>
          <a:ln>
            <a:noFill/>
          </a:ln>
          <a:effectLst>
            <a:outerShdw blurRad="254000" sx="102000" sy="102000" algn="ctr" rotWithShape="0">
              <a:prstClr val="black">
                <a:alpha val="20000"/>
              </a:prstClr>
            </a:outerShdw>
          </a:effectLst>
        </c:spPr>
        <c:marker>
          <c:symbol val="none"/>
        </c:marker>
        <c:dLbl>
          <c:idx val="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7"/>
        <c:spPr>
          <a:solidFill>
            <a:schemeClr val="accent1"/>
          </a:solidFill>
          <a:ln>
            <a:noFill/>
          </a:ln>
          <a:effectLst>
            <a:outerShdw blurRad="254000" sx="102000" sy="102000" algn="ctr" rotWithShape="0">
              <a:prstClr val="black">
                <a:alpha val="20000"/>
              </a:prstClr>
            </a:outerShdw>
          </a:effectLst>
        </c:spPr>
      </c:pivotFmt>
      <c:pivotFmt>
        <c:idx val="8"/>
        <c:spPr>
          <a:solidFill>
            <a:schemeClr val="accent1"/>
          </a:solidFill>
          <a:ln>
            <a:noFill/>
          </a:ln>
          <a:effectLst>
            <a:outerShdw blurRad="254000" sx="102000" sy="102000" algn="ctr" rotWithShape="0">
              <a:prstClr val="black">
                <a:alpha val="20000"/>
              </a:prstClr>
            </a:outerShdw>
          </a:effectLst>
        </c:spPr>
      </c:pivotFmt>
      <c:pivotFmt>
        <c:idx val="9"/>
        <c:spPr>
          <a:solidFill>
            <a:schemeClr val="accent1"/>
          </a:solidFill>
          <a:ln>
            <a:noFill/>
          </a:ln>
          <a:effectLst>
            <a:outerShdw blurRad="254000" sx="102000" sy="102000" algn="ctr" rotWithShape="0">
              <a:prstClr val="black">
                <a:alpha val="20000"/>
              </a:prstClr>
            </a:outerShdw>
          </a:effectLst>
        </c:spPr>
      </c:pivotFmt>
      <c:pivotFmt>
        <c:idx val="10"/>
        <c:spPr>
          <a:solidFill>
            <a:schemeClr val="accent1"/>
          </a:solidFill>
          <a:ln>
            <a:noFill/>
          </a:ln>
          <a:effectLst>
            <a:outerShdw blurRad="254000" sx="102000" sy="102000" algn="ctr" rotWithShape="0">
              <a:prstClr val="black">
                <a:alpha val="20000"/>
              </a:prstClr>
            </a:outerShdw>
          </a:effectLst>
        </c:spPr>
      </c:pivotFmt>
    </c:pivotFmts>
    <c:plotArea>
      <c:layout/>
      <c:pieChart>
        <c:varyColors val="1"/>
        <c:ser>
          <c:idx val="0"/>
          <c:order val="0"/>
          <c:tx>
            <c:v>Total</c:v>
          </c:tx>
          <c:dPt>
            <c:idx val="0"/>
            <c:bubble3D val="0"/>
            <c:spPr>
              <a:solidFill>
                <a:srgbClr val="FF00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DEF-4032-9F63-859474F5DE4C}"/>
              </c:ext>
            </c:extLst>
          </c:dPt>
          <c:dPt>
            <c:idx val="1"/>
            <c:bubble3D val="0"/>
            <c:spPr>
              <a:solidFill>
                <a:srgbClr val="FFC0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DEF-4032-9F63-859474F5DE4C}"/>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DEF-4032-9F63-859474F5DE4C}"/>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EDEF-4032-9F63-859474F5DE4C}"/>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Lit>
              <c:ptCount val="4"/>
              <c:pt idx="0">
                <c:v>Craftsmen, shopkeepers, and business owners</c:v>
              </c:pt>
              <c:pt idx="1">
                <c:v>Executives and higher intellectual professions</c:v>
              </c:pt>
              <c:pt idx="2">
                <c:v>Employees</c:v>
              </c:pt>
              <c:pt idx="3">
                <c:v>Intermediate professions</c:v>
              </c:pt>
            </c:strLit>
          </c:cat>
          <c:val>
            <c:numLit>
              <c:formatCode>General</c:formatCode>
              <c:ptCount val="4"/>
              <c:pt idx="0">
                <c:v>1</c:v>
              </c:pt>
              <c:pt idx="1">
                <c:v>8</c:v>
              </c:pt>
              <c:pt idx="2">
                <c:v>3</c:v>
              </c:pt>
              <c:pt idx="3">
                <c:v>4</c:v>
              </c:pt>
            </c:numLit>
          </c:val>
          <c:extLst>
            <c:ext xmlns:c16="http://schemas.microsoft.com/office/drawing/2014/chart" uri="{C3380CC4-5D6E-409C-BE32-E72D297353CC}">
              <c16:uniqueId val="{00000008-EDEF-4032-9F63-859474F5DE4C}"/>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3">
    <c:autoUpdate val="0"/>
  </c:externalData>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t" anchorCtr="0"/>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lumMod val="75000"/>
                    <a:lumOff val="25000"/>
                  </a:sysClr>
                </a:solidFill>
                <a:latin typeface="+mn-lt"/>
                <a:ea typeface="+mn-ea"/>
                <a:cs typeface="+mn-cs"/>
              </a:defRPr>
            </a:pPr>
            <a:r>
              <a:rPr lang="es" sz="1200" b="1" i="0" u="none" strike="noStrike" kern="1200" baseline="0">
                <a:solidFill>
                  <a:sysClr val="windowText" lastClr="000000">
                    <a:lumMod val="75000"/>
                    <a:lumOff val="25000"/>
                  </a:sysClr>
                </a:solidFill>
              </a:rPr>
              <a:t>Desglose por categorías socioprofesionales ( </a:t>
            </a:r>
            <a:r>
              <a:rPr lang="es" sz="1200" b="1" i="0" u="none" strike="noStrike" baseline="0"/>
              <a:t>Grupo de Residencia </a:t>
            </a:r>
            <a:r>
              <a:rPr lang="es" sz="1200" b="1" i="0" u="none" strike="noStrike" kern="1200" baseline="0">
                <a:solidFill>
                  <a:sysClr val="windowText" lastClr="000000">
                    <a:lumMod val="75000"/>
                    <a:lumOff val="25000"/>
                  </a:sysClr>
                </a:solidFill>
              </a:rPr>
              <a:t>) (N=5)</a:t>
            </a:r>
          </a:p>
        </c:rich>
      </c:tx>
      <c:layout>
        <c:manualLayout>
          <c:xMode val="edge"/>
          <c:yMode val="edge"/>
          <c:x val="0.10142210200835693"/>
          <c:y val="3.5186363048065203E-2"/>
        </c:manualLayout>
      </c:layout>
      <c:overlay val="0"/>
      <c:spPr>
        <a:noFill/>
        <a:ln>
          <a:noFill/>
        </a:ln>
        <a:effectLst/>
      </c:spPr>
      <c:txPr>
        <a:bodyPr rot="0" spcFirstLastPara="1" vertOverflow="ellipsis" vert="horz" wrap="square" anchor="t" anchorCtr="0"/>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lumMod val="75000"/>
                  <a:lumOff val="25000"/>
                </a:sysClr>
              </a:solidFill>
              <a:latin typeface="+mn-lt"/>
              <a:ea typeface="+mn-ea"/>
              <a:cs typeface="+mn-cs"/>
            </a:defRPr>
          </a:pPr>
          <a:endParaRPr lang="fr-FR"/>
        </a:p>
      </c:txPr>
    </c:title>
    <c:autoTitleDeleted val="0"/>
    <c:pivotFmts>
      <c:pivotFmt>
        <c:idx val="0"/>
        <c:spPr>
          <a:solidFill>
            <a:schemeClr val="accent1"/>
          </a:solidFill>
          <a:ln>
            <a:noFill/>
          </a:ln>
          <a:effectLst>
            <a:outerShdw blurRad="254000" sx="102000" sy="102000" algn="ctr" rotWithShape="0">
              <a:prstClr val="black">
                <a:alpha val="20000"/>
              </a:prstClr>
            </a:outerShdw>
          </a:effectLst>
        </c:spPr>
        <c:marker>
          <c:symbol val="circle"/>
          <c:size val="6"/>
        </c:marker>
        <c:dLbl>
          <c:idx val="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1"/>
        <c:spPr>
          <a:solidFill>
            <a:schemeClr val="accent1"/>
          </a:solidFill>
          <a:ln>
            <a:noFill/>
          </a:ln>
          <a:effectLst>
            <a:outerShdw blurRad="254000" sx="102000" sy="102000" algn="ctr" rotWithShape="0">
              <a:prstClr val="black">
                <a:alpha val="20000"/>
              </a:prstClr>
            </a:outerShdw>
          </a:effectLst>
        </c:spPr>
        <c:marker>
          <c:symbol val="none"/>
        </c:marker>
        <c:dLbl>
          <c:idx val="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solidFill>
          <a:ln>
            <a:noFill/>
          </a:ln>
          <a:effectLst>
            <a:outerShdw blurRad="254000" sx="102000" sy="102000" algn="ctr" rotWithShape="0">
              <a:prstClr val="black">
                <a:alpha val="20000"/>
              </a:prstClr>
            </a:outerShdw>
          </a:effectLst>
        </c:spPr>
      </c:pivotFmt>
      <c:pivotFmt>
        <c:idx val="3"/>
        <c:spPr>
          <a:solidFill>
            <a:schemeClr val="accent1"/>
          </a:solidFill>
          <a:ln>
            <a:noFill/>
          </a:ln>
          <a:effectLst>
            <a:outerShdw blurRad="254000" sx="102000" sy="102000" algn="ctr" rotWithShape="0">
              <a:prstClr val="black">
                <a:alpha val="20000"/>
              </a:prstClr>
            </a:outerShdw>
          </a:effectLst>
        </c:spPr>
      </c:pivotFmt>
      <c:pivotFmt>
        <c:idx val="4"/>
        <c:spPr>
          <a:solidFill>
            <a:schemeClr val="accent1"/>
          </a:solidFill>
          <a:ln>
            <a:noFill/>
          </a:ln>
          <a:effectLst>
            <a:outerShdw blurRad="254000" sx="102000" sy="102000" algn="ctr" rotWithShape="0">
              <a:prstClr val="black">
                <a:alpha val="20000"/>
              </a:prstClr>
            </a:outerShdw>
          </a:effectLst>
        </c:spPr>
      </c:pivotFmt>
      <c:pivotFmt>
        <c:idx val="5"/>
        <c:spPr>
          <a:solidFill>
            <a:schemeClr val="accent1"/>
          </a:solidFill>
          <a:ln>
            <a:noFill/>
          </a:ln>
          <a:effectLst>
            <a:outerShdw blurRad="254000" sx="102000" sy="102000" algn="ctr" rotWithShape="0">
              <a:prstClr val="black">
                <a:alpha val="20000"/>
              </a:prstClr>
            </a:outerShdw>
          </a:effectLst>
        </c:spPr>
      </c:pivotFmt>
      <c:pivotFmt>
        <c:idx val="6"/>
        <c:spPr>
          <a:solidFill>
            <a:schemeClr val="accent1"/>
          </a:solidFill>
          <a:ln>
            <a:noFill/>
          </a:ln>
          <a:effectLst>
            <a:outerShdw blurRad="254000" sx="102000" sy="102000" algn="ctr" rotWithShape="0">
              <a:prstClr val="black">
                <a:alpha val="20000"/>
              </a:prstClr>
            </a:outerShdw>
          </a:effectLst>
        </c:spPr>
        <c:marker>
          <c:symbol val="none"/>
        </c:marker>
        <c:dLbl>
          <c:idx val="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7"/>
        <c:spPr>
          <a:solidFill>
            <a:schemeClr val="accent1"/>
          </a:solidFill>
          <a:ln>
            <a:noFill/>
          </a:ln>
          <a:effectLst>
            <a:outerShdw blurRad="254000" sx="102000" sy="102000" algn="ctr" rotWithShape="0">
              <a:prstClr val="black">
                <a:alpha val="20000"/>
              </a:prstClr>
            </a:outerShdw>
          </a:effectLst>
        </c:spPr>
      </c:pivotFmt>
      <c:pivotFmt>
        <c:idx val="8"/>
        <c:spPr>
          <a:solidFill>
            <a:schemeClr val="accent1"/>
          </a:solidFill>
          <a:ln>
            <a:noFill/>
          </a:ln>
          <a:effectLst>
            <a:outerShdw blurRad="254000" sx="102000" sy="102000" algn="ctr" rotWithShape="0">
              <a:prstClr val="black">
                <a:alpha val="20000"/>
              </a:prstClr>
            </a:outerShdw>
          </a:effectLst>
        </c:spPr>
      </c:pivotFmt>
      <c:pivotFmt>
        <c:idx val="9"/>
        <c:spPr>
          <a:solidFill>
            <a:schemeClr val="accent1"/>
          </a:solidFill>
          <a:ln>
            <a:noFill/>
          </a:ln>
          <a:effectLst>
            <a:outerShdw blurRad="254000" sx="102000" sy="102000" algn="ctr" rotWithShape="0">
              <a:prstClr val="black">
                <a:alpha val="20000"/>
              </a:prstClr>
            </a:outerShdw>
          </a:effectLst>
        </c:spPr>
      </c:pivotFmt>
      <c:pivotFmt>
        <c:idx val="10"/>
        <c:spPr>
          <a:solidFill>
            <a:schemeClr val="accent1"/>
          </a:solidFill>
          <a:ln>
            <a:noFill/>
          </a:ln>
          <a:effectLst>
            <a:outerShdw blurRad="254000" sx="102000" sy="102000" algn="ctr" rotWithShape="0">
              <a:prstClr val="black">
                <a:alpha val="20000"/>
              </a:prstClr>
            </a:outerShdw>
          </a:effectLst>
        </c:spPr>
      </c:pivotFmt>
    </c:pivotFmts>
    <c:plotArea>
      <c:layout/>
      <c:pieChart>
        <c:varyColors val="1"/>
        <c:ser>
          <c:idx val="0"/>
          <c:order val="0"/>
          <c:tx>
            <c:v>Total</c:v>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33E-43BA-B930-77AC5452270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33E-43BA-B930-77AC5452270F}"/>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33E-43BA-B930-77AC5452270F}"/>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433E-43BA-B930-77AC5452270F}"/>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Lit>
              <c:ptCount val="4"/>
              <c:pt idx="0">
                <c:v>Other people without professional activity</c:v>
              </c:pt>
              <c:pt idx="1">
                <c:v>Employees</c:v>
              </c:pt>
              <c:pt idx="2">
                <c:v>Workers</c:v>
              </c:pt>
              <c:pt idx="3">
                <c:v>Intermediate professions</c:v>
              </c:pt>
            </c:strLit>
          </c:cat>
          <c:val>
            <c:numLit>
              <c:formatCode>General</c:formatCode>
              <c:ptCount val="4"/>
              <c:pt idx="0">
                <c:v>1</c:v>
              </c:pt>
              <c:pt idx="1">
                <c:v>2</c:v>
              </c:pt>
              <c:pt idx="2">
                <c:v>1</c:v>
              </c:pt>
              <c:pt idx="3">
                <c:v>1</c:v>
              </c:pt>
            </c:numLit>
          </c:val>
          <c:extLst>
            <c:ext xmlns:c16="http://schemas.microsoft.com/office/drawing/2014/chart" uri="{C3380CC4-5D6E-409C-BE32-E72D297353CC}">
              <c16:uniqueId val="{00000008-433E-43BA-B930-77AC5452270F}"/>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3">
    <c:autoUpdate val="0"/>
  </c:externalData>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r>
              <a:rPr lang="es" sz="1200" b="1" i="0" u="none" strike="noStrike" baseline="0"/>
              <a:t>Desglose por horas de trabajo voluntario (Grupo Ayuntamiento) (N=18)</a:t>
            </a:r>
            <a:endParaRPr lang="fr-FR" sz="1200"/>
          </a:p>
        </c:rich>
      </c:tx>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endParaRPr lang="fr-FR"/>
        </a:p>
      </c:txPr>
    </c:title>
    <c:autoTitleDeleted val="0"/>
    <c:pivotFmts>
      <c:pivotFmt>
        <c:idx val="0"/>
        <c:spPr>
          <a:solidFill>
            <a:schemeClr val="accent1"/>
          </a:solidFill>
          <a:ln>
            <a:noFill/>
          </a:ln>
          <a:effectLst>
            <a:outerShdw blurRad="254000" sx="102000" sy="102000" algn="ctr" rotWithShape="0">
              <a:prstClr val="black">
                <a:alpha val="20000"/>
              </a:prstClr>
            </a:outerShdw>
          </a:effectLst>
        </c:spPr>
        <c:marker>
          <c:symbol val="circle"/>
          <c:size val="6"/>
        </c:marker>
        <c:dLbl>
          <c:idx val="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1"/>
        <c:spPr>
          <a:solidFill>
            <a:schemeClr val="accent1"/>
          </a:solidFill>
          <a:ln>
            <a:noFill/>
          </a:ln>
          <a:effectLst>
            <a:outerShdw blurRad="254000" sx="102000" sy="102000" algn="ctr" rotWithShape="0">
              <a:prstClr val="black">
                <a:alpha val="20000"/>
              </a:prstClr>
            </a:outerShdw>
          </a:effectLst>
        </c:spPr>
        <c:marker>
          <c:symbol val="none"/>
        </c:marker>
        <c:dLbl>
          <c:idx val="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solidFill>
          <a:ln>
            <a:noFill/>
          </a:ln>
          <a:effectLst>
            <a:outerShdw blurRad="254000" sx="102000" sy="102000" algn="ctr" rotWithShape="0">
              <a:prstClr val="black">
                <a:alpha val="20000"/>
              </a:prstClr>
            </a:outerShdw>
          </a:effectLst>
        </c:spPr>
      </c:pivotFmt>
      <c:pivotFmt>
        <c:idx val="3"/>
        <c:spPr>
          <a:solidFill>
            <a:schemeClr val="accent1"/>
          </a:solidFill>
          <a:ln>
            <a:noFill/>
          </a:ln>
          <a:effectLst>
            <a:outerShdw blurRad="254000" sx="102000" sy="102000" algn="ctr" rotWithShape="0">
              <a:prstClr val="black">
                <a:alpha val="20000"/>
              </a:prstClr>
            </a:outerShdw>
          </a:effectLst>
        </c:spPr>
      </c:pivotFmt>
      <c:pivotFmt>
        <c:idx val="4"/>
        <c:spPr>
          <a:solidFill>
            <a:schemeClr val="accent1"/>
          </a:solidFill>
          <a:ln>
            <a:noFill/>
          </a:ln>
          <a:effectLst>
            <a:outerShdw blurRad="254000" sx="102000" sy="102000" algn="ctr" rotWithShape="0">
              <a:prstClr val="black">
                <a:alpha val="20000"/>
              </a:prstClr>
            </a:outerShdw>
          </a:effectLst>
        </c:spPr>
      </c:pivotFmt>
      <c:pivotFmt>
        <c:idx val="5"/>
        <c:spPr>
          <a:solidFill>
            <a:schemeClr val="accent1"/>
          </a:solidFill>
          <a:ln>
            <a:noFill/>
          </a:ln>
          <a:effectLst>
            <a:outerShdw blurRad="254000" sx="102000" sy="102000" algn="ctr" rotWithShape="0">
              <a:prstClr val="black">
                <a:alpha val="20000"/>
              </a:prstClr>
            </a:outerShdw>
          </a:effectLst>
        </c:spPr>
      </c:pivotFmt>
      <c:pivotFmt>
        <c:idx val="6"/>
        <c:spPr>
          <a:solidFill>
            <a:schemeClr val="accent1"/>
          </a:solidFill>
          <a:ln>
            <a:noFill/>
          </a:ln>
          <a:effectLst>
            <a:outerShdw blurRad="254000" sx="102000" sy="102000" algn="ctr" rotWithShape="0">
              <a:prstClr val="black">
                <a:alpha val="20000"/>
              </a:prstClr>
            </a:outerShdw>
          </a:effectLst>
        </c:spPr>
        <c:marker>
          <c:symbol val="none"/>
        </c:marker>
        <c:dLbl>
          <c:idx val="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7"/>
        <c:spPr>
          <a:solidFill>
            <a:schemeClr val="accent1"/>
          </a:solidFill>
          <a:ln>
            <a:noFill/>
          </a:ln>
          <a:effectLst>
            <a:outerShdw blurRad="254000" sx="102000" sy="102000" algn="ctr" rotWithShape="0">
              <a:prstClr val="black">
                <a:alpha val="20000"/>
              </a:prstClr>
            </a:outerShdw>
          </a:effectLst>
        </c:spPr>
      </c:pivotFmt>
      <c:pivotFmt>
        <c:idx val="8"/>
        <c:spPr>
          <a:solidFill>
            <a:schemeClr val="accent1"/>
          </a:solidFill>
          <a:ln>
            <a:noFill/>
          </a:ln>
          <a:effectLst>
            <a:outerShdw blurRad="254000" sx="102000" sy="102000" algn="ctr" rotWithShape="0">
              <a:prstClr val="black">
                <a:alpha val="20000"/>
              </a:prstClr>
            </a:outerShdw>
          </a:effectLst>
        </c:spPr>
      </c:pivotFmt>
      <c:pivotFmt>
        <c:idx val="9"/>
        <c:spPr>
          <a:solidFill>
            <a:schemeClr val="accent1"/>
          </a:solidFill>
          <a:ln>
            <a:noFill/>
          </a:ln>
          <a:effectLst>
            <a:outerShdw blurRad="254000" sx="102000" sy="102000" algn="ctr" rotWithShape="0">
              <a:prstClr val="black">
                <a:alpha val="20000"/>
              </a:prstClr>
            </a:outerShdw>
          </a:effectLst>
        </c:spPr>
      </c:pivotFmt>
      <c:pivotFmt>
        <c:idx val="10"/>
        <c:spPr>
          <a:solidFill>
            <a:schemeClr val="accent1"/>
          </a:solidFill>
          <a:ln>
            <a:noFill/>
          </a:ln>
          <a:effectLst>
            <a:outerShdw blurRad="254000" sx="102000" sy="102000" algn="ctr" rotWithShape="0">
              <a:prstClr val="black">
                <a:alpha val="20000"/>
              </a:prstClr>
            </a:outerShdw>
          </a:effectLst>
        </c:spPr>
      </c:pivotFmt>
    </c:pivotFmts>
    <c:plotArea>
      <c:layout/>
      <c:pieChart>
        <c:varyColors val="1"/>
        <c:ser>
          <c:idx val="1"/>
          <c:order val="0"/>
          <c:tx>
            <c:v>Total</c:v>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D00-4ADD-9104-D7837126B42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D00-4ADD-9104-D7837126B42A}"/>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D00-4ADD-9104-D7837126B42A}"/>
              </c:ext>
            </c:extLst>
          </c:dPt>
          <c:dPt>
            <c:idx val="3"/>
            <c:bubble3D val="0"/>
            <c:spPr>
              <a:solidFill>
                <a:srgbClr val="C000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0D00-4ADD-9104-D7837126B42A}"/>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Lit>
              <c:ptCount val="4"/>
              <c:pt idx="0">
                <c:v>10 hours or more per week</c:v>
              </c:pt>
              <c:pt idx="1">
                <c:v>A few hours per month</c:v>
              </c:pt>
              <c:pt idx="2">
                <c:v>A few hours per month</c:v>
              </c:pt>
              <c:pt idx="3">
                <c:v>Without</c:v>
              </c:pt>
            </c:strLit>
          </c:cat>
          <c:val>
            <c:numLit>
              <c:formatCode>General</c:formatCode>
              <c:ptCount val="4"/>
              <c:pt idx="0">
                <c:v>6</c:v>
              </c:pt>
              <c:pt idx="1">
                <c:v>3</c:v>
              </c:pt>
              <c:pt idx="2">
                <c:v>5</c:v>
              </c:pt>
              <c:pt idx="3">
                <c:v>2</c:v>
              </c:pt>
            </c:numLit>
          </c:val>
          <c:extLst>
            <c:ext xmlns:c16="http://schemas.microsoft.com/office/drawing/2014/chart" uri="{C3380CC4-5D6E-409C-BE32-E72D297353CC}">
              <c16:uniqueId val="{00000008-0D00-4ADD-9104-D7837126B42A}"/>
            </c:ext>
          </c:extLst>
        </c:ser>
        <c:ser>
          <c:idx val="2"/>
          <c:order val="1"/>
          <c:tx>
            <c:v>Total</c:v>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A-0D00-4ADD-9104-D7837126B42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0D00-4ADD-9104-D7837126B42A}"/>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Lit>
              <c:ptCount val="4"/>
              <c:pt idx="0">
                <c:v>10 hours or more per week</c:v>
              </c:pt>
              <c:pt idx="1">
                <c:v>A few hours per month</c:v>
              </c:pt>
              <c:pt idx="2">
                <c:v>A few hours per month</c:v>
              </c:pt>
              <c:pt idx="3">
                <c:v>Without</c:v>
              </c:pt>
            </c:strLit>
          </c:cat>
          <c:val>
            <c:numLit>
              <c:formatCode>General</c:formatCode>
              <c:ptCount val="2"/>
              <c:pt idx="0">
                <c:v>12</c:v>
              </c:pt>
              <c:pt idx="1">
                <c:v>4</c:v>
              </c:pt>
            </c:numLit>
          </c:val>
          <c:extLst>
            <c:ext xmlns:c16="http://schemas.microsoft.com/office/drawing/2014/chart" uri="{C3380CC4-5D6E-409C-BE32-E72D297353CC}">
              <c16:uniqueId val="{0000000D-0D00-4ADD-9104-D7837126B42A}"/>
            </c:ext>
          </c:extLst>
        </c:ser>
        <c:ser>
          <c:idx val="0"/>
          <c:order val="2"/>
          <c:tx>
            <c:strRef>
              <c:f>Feuil5!$B$3</c:f>
              <c:strCache>
                <c:ptCount val="1"/>
                <c:pt idx="0">
                  <c:v>#REF!</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0D00-4ADD-9104-D7837126B42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0D00-4ADD-9104-D7837126B42A}"/>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3-0D00-4ADD-9104-D7837126B42A}"/>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5-0D00-4ADD-9104-D7837126B42A}"/>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Lit>
              <c:ptCount val="4"/>
              <c:pt idx="0">
                <c:v>10 hours or more per week</c:v>
              </c:pt>
              <c:pt idx="1">
                <c:v>A few hours per month</c:v>
              </c:pt>
              <c:pt idx="2">
                <c:v>A few hours per month</c:v>
              </c:pt>
              <c:pt idx="3">
                <c:v>Without</c:v>
              </c:pt>
            </c:strLit>
          </c:cat>
          <c:val>
            <c:numRef>
              <c:f>Feuil5!$B$4:$B$7</c:f>
              <c:numCache>
                <c:formatCode>General</c:formatCode>
                <c:ptCount val="4"/>
                <c:pt idx="0">
                  <c:v>6</c:v>
                </c:pt>
                <c:pt idx="1">
                  <c:v>3</c:v>
                </c:pt>
                <c:pt idx="2">
                  <c:v>5</c:v>
                </c:pt>
                <c:pt idx="3">
                  <c:v>2</c:v>
                </c:pt>
              </c:numCache>
            </c:numRef>
          </c:val>
          <c:extLst>
            <c:ext xmlns:c16="http://schemas.microsoft.com/office/drawing/2014/chart" uri="{C3380CC4-5D6E-409C-BE32-E72D297353CC}">
              <c16:uniqueId val="{00000016-0D00-4ADD-9104-D7837126B42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r-FR"/>
        </a:p>
      </c:txPr>
    </c:legend>
    <c:plotVisOnly val="1"/>
    <c:dispBlanksAs val="gap"/>
    <c:showDLblsOverMax val="0"/>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3">
    <c:autoUpdate val="0"/>
  </c:externalData>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r>
              <a:rPr lang="es" sz="1200" b="1" i="0" u="none" strike="noStrike" kern="1200" baseline="0">
                <a:solidFill>
                  <a:sysClr val="windowText" lastClr="000000">
                    <a:lumMod val="75000"/>
                    <a:lumOff val="25000"/>
                  </a:sysClr>
                </a:solidFill>
              </a:rPr>
              <a:t>Desglose por horas de trabajo voluntario (Grupo de Residencia) (N=5)</a:t>
            </a:r>
          </a:p>
        </c:rich>
      </c:tx>
      <c:layout>
        <c:manualLayout>
          <c:xMode val="edge"/>
          <c:yMode val="edge"/>
          <c:x val="0.14987066675524957"/>
          <c:y val="1.0085472393203185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endParaRPr lang="fr-FR"/>
        </a:p>
      </c:txPr>
    </c:title>
    <c:autoTitleDeleted val="0"/>
    <c:pivotFmts>
      <c:pivotFmt>
        <c:idx val="0"/>
        <c:spPr>
          <a:solidFill>
            <a:schemeClr val="accent1"/>
          </a:solidFill>
          <a:ln>
            <a:noFill/>
          </a:ln>
          <a:effectLst>
            <a:outerShdw blurRad="254000" sx="102000" sy="102000" algn="ctr" rotWithShape="0">
              <a:prstClr val="black">
                <a:alpha val="20000"/>
              </a:prstClr>
            </a:outerShdw>
          </a:effectLst>
        </c:spPr>
        <c:marker>
          <c:symbol val="circle"/>
          <c:size val="6"/>
        </c:marker>
        <c:dLbl>
          <c:idx val="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1"/>
        <c:spPr>
          <a:solidFill>
            <a:schemeClr val="accent1"/>
          </a:solidFill>
          <a:ln>
            <a:noFill/>
          </a:ln>
          <a:effectLst>
            <a:outerShdw blurRad="254000" sx="102000" sy="102000" algn="ctr" rotWithShape="0">
              <a:prstClr val="black">
                <a:alpha val="20000"/>
              </a:prstClr>
            </a:outerShdw>
          </a:effectLst>
        </c:spPr>
        <c:marker>
          <c:symbol val="none"/>
        </c:marker>
        <c:dLbl>
          <c:idx val="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solidFill>
          <a:ln>
            <a:noFill/>
          </a:ln>
          <a:effectLst>
            <a:outerShdw blurRad="254000" sx="102000" sy="102000" algn="ctr" rotWithShape="0">
              <a:prstClr val="black">
                <a:alpha val="20000"/>
              </a:prstClr>
            </a:outerShdw>
          </a:effectLst>
        </c:spPr>
      </c:pivotFmt>
      <c:pivotFmt>
        <c:idx val="3"/>
        <c:spPr>
          <a:solidFill>
            <a:schemeClr val="accent1"/>
          </a:solidFill>
          <a:ln>
            <a:noFill/>
          </a:ln>
          <a:effectLst>
            <a:outerShdw blurRad="254000" sx="102000" sy="102000" algn="ctr" rotWithShape="0">
              <a:prstClr val="black">
                <a:alpha val="20000"/>
              </a:prstClr>
            </a:outerShdw>
          </a:effectLst>
        </c:spPr>
      </c:pivotFmt>
      <c:pivotFmt>
        <c:idx val="4"/>
        <c:spPr>
          <a:solidFill>
            <a:schemeClr val="accent1"/>
          </a:solidFill>
          <a:ln>
            <a:noFill/>
          </a:ln>
          <a:effectLst>
            <a:outerShdw blurRad="254000" sx="102000" sy="102000" algn="ctr" rotWithShape="0">
              <a:prstClr val="black">
                <a:alpha val="20000"/>
              </a:prstClr>
            </a:outerShdw>
          </a:effectLst>
        </c:spPr>
      </c:pivotFmt>
      <c:pivotFmt>
        <c:idx val="5"/>
        <c:spPr>
          <a:solidFill>
            <a:schemeClr val="accent1"/>
          </a:solidFill>
          <a:ln>
            <a:noFill/>
          </a:ln>
          <a:effectLst>
            <a:outerShdw blurRad="254000" sx="102000" sy="102000" algn="ctr" rotWithShape="0">
              <a:prstClr val="black">
                <a:alpha val="20000"/>
              </a:prstClr>
            </a:outerShdw>
          </a:effectLst>
        </c:spPr>
        <c:marker>
          <c:symbol val="none"/>
        </c:marker>
        <c:dLbl>
          <c:idx val="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6"/>
        <c:spPr>
          <a:solidFill>
            <a:schemeClr val="accent1"/>
          </a:solidFill>
          <a:ln>
            <a:noFill/>
          </a:ln>
          <a:effectLst>
            <a:outerShdw blurRad="254000" sx="102000" sy="102000" algn="ctr" rotWithShape="0">
              <a:prstClr val="black">
                <a:alpha val="20000"/>
              </a:prstClr>
            </a:outerShdw>
          </a:effectLst>
        </c:spPr>
      </c:pivotFmt>
      <c:pivotFmt>
        <c:idx val="7"/>
        <c:spPr>
          <a:solidFill>
            <a:schemeClr val="accent1"/>
          </a:solidFill>
          <a:ln>
            <a:noFill/>
          </a:ln>
          <a:effectLst>
            <a:outerShdw blurRad="254000" sx="102000" sy="102000" algn="ctr" rotWithShape="0">
              <a:prstClr val="black">
                <a:alpha val="20000"/>
              </a:prstClr>
            </a:outerShdw>
          </a:effectLst>
        </c:spPr>
      </c:pivotFmt>
      <c:pivotFmt>
        <c:idx val="8"/>
        <c:spPr>
          <a:solidFill>
            <a:schemeClr val="accent1"/>
          </a:solidFill>
          <a:ln>
            <a:noFill/>
          </a:ln>
          <a:effectLst>
            <a:outerShdw blurRad="254000" sx="102000" sy="102000" algn="ctr" rotWithShape="0">
              <a:prstClr val="black">
                <a:alpha val="20000"/>
              </a:prstClr>
            </a:outerShdw>
          </a:effectLst>
        </c:spPr>
      </c:pivotFmt>
    </c:pivotFmts>
    <c:plotArea>
      <c:layout/>
      <c:pieChart>
        <c:varyColors val="1"/>
        <c:ser>
          <c:idx val="0"/>
          <c:order val="0"/>
          <c:tx>
            <c:v>Total</c:v>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102-4DE7-A7D7-3BF23E9F6E2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102-4DE7-A7D7-3BF23E9F6E20}"/>
              </c:ext>
            </c:extLst>
          </c:dPt>
          <c:dPt>
            <c:idx val="2"/>
            <c:bubble3D val="0"/>
            <c:spPr>
              <a:solidFill>
                <a:srgbClr val="C000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102-4DE7-A7D7-3BF23E9F6E20}"/>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Lit>
              <c:ptCount val="3"/>
              <c:pt idx="0">
                <c:v>10 hours or more per week</c:v>
              </c:pt>
              <c:pt idx="1">
                <c:v>A few hours per month</c:v>
              </c:pt>
              <c:pt idx="2">
                <c:v>Without</c:v>
              </c:pt>
            </c:strLit>
          </c:cat>
          <c:val>
            <c:numLit>
              <c:formatCode>General</c:formatCode>
              <c:ptCount val="3"/>
              <c:pt idx="0">
                <c:v>1</c:v>
              </c:pt>
              <c:pt idx="1">
                <c:v>1</c:v>
              </c:pt>
              <c:pt idx="2">
                <c:v>3</c:v>
              </c:pt>
            </c:numLit>
          </c:val>
          <c:extLst>
            <c:ext xmlns:c16="http://schemas.microsoft.com/office/drawing/2014/chart" uri="{C3380CC4-5D6E-409C-BE32-E72D297353CC}">
              <c16:uniqueId val="{00000006-4102-4DE7-A7D7-3BF23E9F6E2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3">
    <c:autoUpdate val="0"/>
  </c:externalData>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ECACC-4B4D-4FDB-8D18-2BA0AAECC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10172</Words>
  <Characters>55949</Characters>
  <Application>Microsoft Office Word</Application>
  <DocSecurity>0</DocSecurity>
  <Lines>466</Lines>
  <Paragraphs>131</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universite de lorraine</Company>
  <LinksUpToDate>false</LinksUpToDate>
  <CharactersWithSpaces>65990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Jean-Philippe Viriot Durandal</dc:creator>
  <cp:keywords/>
  <dc:description/>
  <cp:lastModifiedBy>Alicia Santillán</cp:lastModifiedBy>
  <cp:revision>4</cp:revision>
  <cp:lastPrinted>2025-05-05T10:47:00Z</cp:lastPrinted>
  <dcterms:created xsi:type="dcterms:W3CDTF">2025-05-05T11:06:00Z</dcterms:created>
  <dcterms:modified xsi:type="dcterms:W3CDTF">2025-05-06T09:25:00Z</dcterms:modified>
</cp:coreProperties>
</file>