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C66BC" w14:textId="77777777" w:rsidR="00EE3D94" w:rsidRPr="006735A7" w:rsidRDefault="00EE3D94" w:rsidP="006735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right"/>
        <w:rPr>
          <w:rFonts w:ascii="Calibri" w:eastAsia="Times New Roman" w:hAnsi="Calibri" w:cs="Calibri"/>
          <w:b/>
          <w:bCs/>
          <w:color w:val="000000"/>
          <w:sz w:val="36"/>
          <w:szCs w:val="36"/>
          <w:bdr w:val="none" w:sz="0" w:space="0" w:color="auto"/>
          <w:lang w:val="es-MX" w:eastAsia="es-MX"/>
        </w:rPr>
      </w:pPr>
      <w:r w:rsidRPr="006735A7">
        <w:rPr>
          <w:rFonts w:ascii="Calibri" w:eastAsia="Times New Roman" w:hAnsi="Calibri" w:cs="Calibri"/>
          <w:b/>
          <w:bCs/>
          <w:color w:val="000000"/>
          <w:sz w:val="36"/>
          <w:szCs w:val="36"/>
          <w:bdr w:val="none" w:sz="0" w:space="0" w:color="auto"/>
          <w:lang w:val="es-MX" w:eastAsia="es-MX"/>
        </w:rPr>
        <w:t>Nuevos recursos y estrategias en el vínculo de la representación parlamentaria en América Latina</w:t>
      </w:r>
    </w:p>
    <w:p w14:paraId="3D0BD5BE" w14:textId="77777777" w:rsidR="006735A7" w:rsidRDefault="006735A7" w:rsidP="006735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right"/>
        <w:rPr>
          <w:rFonts w:ascii="Calibri" w:eastAsia="Times New Roman" w:hAnsi="Calibri" w:cs="Calibri"/>
          <w:b/>
          <w:bCs/>
          <w:color w:val="000000"/>
          <w:sz w:val="36"/>
          <w:szCs w:val="36"/>
          <w:bdr w:val="none" w:sz="0" w:space="0" w:color="auto"/>
          <w:lang w:val="es-MX" w:eastAsia="es-MX"/>
        </w:rPr>
      </w:pPr>
    </w:p>
    <w:p w14:paraId="15ED2346" w14:textId="5301646D" w:rsidR="00EE3D94" w:rsidRPr="006735A7" w:rsidRDefault="00EE3D94" w:rsidP="006735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right"/>
        <w:rPr>
          <w:rFonts w:ascii="Calibri" w:eastAsia="Times New Roman" w:hAnsi="Calibri" w:cs="Calibri"/>
          <w:b/>
          <w:bCs/>
          <w:i/>
          <w:color w:val="000000"/>
          <w:sz w:val="28"/>
          <w:szCs w:val="36"/>
          <w:bdr w:val="none" w:sz="0" w:space="0" w:color="auto"/>
          <w:lang w:val="es-MX" w:eastAsia="es-MX"/>
        </w:rPr>
      </w:pPr>
      <w:r w:rsidRPr="006735A7">
        <w:rPr>
          <w:rFonts w:ascii="Calibri" w:eastAsia="Times New Roman" w:hAnsi="Calibri" w:cs="Calibri"/>
          <w:b/>
          <w:bCs/>
          <w:i/>
          <w:color w:val="000000"/>
          <w:sz w:val="28"/>
          <w:szCs w:val="36"/>
          <w:bdr w:val="none" w:sz="0" w:space="0" w:color="auto"/>
          <w:lang w:val="es-MX" w:eastAsia="es-MX"/>
        </w:rPr>
        <w:t>New resources and strategies in the link of parliamentary representation in Latin America</w:t>
      </w:r>
    </w:p>
    <w:p w14:paraId="7776963E" w14:textId="1B6EB0E7" w:rsidR="006735A7" w:rsidRPr="006735A7" w:rsidRDefault="006735A7" w:rsidP="006735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right"/>
        <w:rPr>
          <w:rFonts w:ascii="Calibri" w:eastAsia="Times New Roman" w:hAnsi="Calibri" w:cs="Calibri"/>
          <w:b/>
          <w:bCs/>
          <w:i/>
          <w:color w:val="000000"/>
          <w:sz w:val="28"/>
          <w:szCs w:val="36"/>
          <w:bdr w:val="none" w:sz="0" w:space="0" w:color="auto"/>
          <w:lang w:val="es-MX" w:eastAsia="es-MX"/>
        </w:rPr>
      </w:pPr>
    </w:p>
    <w:p w14:paraId="00854272" w14:textId="6AF140A5" w:rsidR="006735A7" w:rsidRPr="006735A7" w:rsidRDefault="006735A7" w:rsidP="006735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right"/>
        <w:rPr>
          <w:rFonts w:ascii="Calibri" w:eastAsia="Times New Roman" w:hAnsi="Calibri" w:cs="Calibri"/>
          <w:b/>
          <w:bCs/>
          <w:i/>
          <w:color w:val="000000"/>
          <w:sz w:val="28"/>
          <w:szCs w:val="36"/>
          <w:bdr w:val="none" w:sz="0" w:space="0" w:color="auto"/>
          <w:lang w:val="es-MX" w:eastAsia="es-MX"/>
        </w:rPr>
      </w:pPr>
      <w:r w:rsidRPr="006735A7">
        <w:rPr>
          <w:rFonts w:ascii="Calibri" w:eastAsia="Times New Roman" w:hAnsi="Calibri" w:cs="Calibri"/>
          <w:b/>
          <w:bCs/>
          <w:i/>
          <w:color w:val="000000"/>
          <w:sz w:val="28"/>
          <w:szCs w:val="36"/>
          <w:bdr w:val="none" w:sz="0" w:space="0" w:color="auto"/>
          <w:lang w:val="es-MX" w:eastAsia="es-MX"/>
        </w:rPr>
        <w:t>Novos recursos e estratégias no vínculo da representação parlamentar na América Latina</w:t>
      </w:r>
    </w:p>
    <w:p w14:paraId="3D418737" w14:textId="77777777" w:rsidR="00EE3D94" w:rsidRPr="00EE3D94" w:rsidRDefault="00EE3D94" w:rsidP="00012A70">
      <w:pPr>
        <w:pStyle w:val="Sinespaciado"/>
        <w:spacing w:line="360" w:lineRule="auto"/>
        <w:jc w:val="both"/>
        <w:rPr>
          <w:rFonts w:ascii="Times New Roman" w:hAnsi="Times New Roman" w:cs="Times New Roman"/>
          <w:sz w:val="24"/>
          <w:szCs w:val="24"/>
        </w:rPr>
      </w:pPr>
    </w:p>
    <w:p w14:paraId="3AC5CD87" w14:textId="68819FF6" w:rsidR="00EE3D94" w:rsidRDefault="00EE3D94" w:rsidP="006735A7">
      <w:pPr>
        <w:pStyle w:val="Sinespaciado"/>
        <w:jc w:val="right"/>
        <w:rPr>
          <w:rFonts w:ascii="Times New Roman" w:hAnsi="Times New Roman" w:cs="Times New Roman"/>
          <w:sz w:val="24"/>
          <w:szCs w:val="24"/>
        </w:rPr>
      </w:pPr>
      <w:r w:rsidRPr="006735A7">
        <w:rPr>
          <w:rFonts w:eastAsia="Times New Roman"/>
          <w:b/>
          <w:bCs/>
          <w:color w:val="auto"/>
          <w:sz w:val="24"/>
          <w:szCs w:val="24"/>
          <w:bdr w:val="none" w:sz="0" w:space="0" w:color="auto"/>
          <w:lang w:val="es-ES" w:eastAsia="en-US"/>
        </w:rPr>
        <w:t>Laura Valencia Escamilla</w:t>
      </w:r>
    </w:p>
    <w:p w14:paraId="1FF94958" w14:textId="49244043" w:rsidR="006735A7" w:rsidRPr="006735A7" w:rsidRDefault="006735A7" w:rsidP="006735A7">
      <w:pPr>
        <w:pStyle w:val="Sinespaciado"/>
        <w:jc w:val="right"/>
        <w:rPr>
          <w:rFonts w:ascii="Times New Roman" w:eastAsia="Times New Roman" w:hAnsi="Times New Roman" w:cs="Times New Roman"/>
          <w:color w:val="auto"/>
          <w:sz w:val="24"/>
          <w:szCs w:val="24"/>
          <w:bdr w:val="none" w:sz="0" w:space="0" w:color="auto"/>
          <w:lang w:val="es-ES" w:eastAsia="es-ES"/>
        </w:rPr>
      </w:pPr>
      <w:r w:rsidRPr="006735A7">
        <w:rPr>
          <w:rFonts w:ascii="Times New Roman" w:eastAsia="Times New Roman" w:hAnsi="Times New Roman" w:cs="Times New Roman"/>
          <w:color w:val="auto"/>
          <w:sz w:val="24"/>
          <w:szCs w:val="24"/>
          <w:bdr w:val="none" w:sz="0" w:space="0" w:color="auto"/>
          <w:lang w:val="es-ES" w:eastAsia="es-ES"/>
        </w:rPr>
        <w:t>Universidad Autónoma Metropolitana, Unidad Xochimilco, México</w:t>
      </w:r>
    </w:p>
    <w:p w14:paraId="39E33AE3" w14:textId="0E6E1296" w:rsidR="00294D47" w:rsidRPr="0049457A" w:rsidRDefault="006735A7" w:rsidP="006735A7">
      <w:pPr>
        <w:pStyle w:val="Sinespaciado"/>
        <w:jc w:val="right"/>
        <w:rPr>
          <w:rFonts w:eastAsia="Times New Roman"/>
          <w:color w:val="FF0000"/>
          <w:spacing w:val="-2"/>
          <w:sz w:val="24"/>
          <w:szCs w:val="24"/>
          <w:bdr w:val="none" w:sz="0" w:space="0" w:color="auto"/>
          <w:lang w:eastAsia="es-MX"/>
        </w:rPr>
      </w:pPr>
      <w:r w:rsidRPr="0049457A">
        <w:rPr>
          <w:rFonts w:eastAsia="Times New Roman"/>
          <w:color w:val="FF0000"/>
          <w:spacing w:val="-2"/>
          <w:sz w:val="24"/>
          <w:szCs w:val="24"/>
          <w:bdr w:val="none" w:sz="0" w:space="0" w:color="auto"/>
          <w:lang w:eastAsia="es-MX"/>
        </w:rPr>
        <w:t xml:space="preserve">                    </w:t>
      </w:r>
      <w:r w:rsidR="00294D47" w:rsidRPr="0049457A">
        <w:rPr>
          <w:rFonts w:eastAsia="Times New Roman"/>
          <w:color w:val="FF0000"/>
          <w:spacing w:val="-2"/>
          <w:sz w:val="24"/>
          <w:szCs w:val="24"/>
          <w:bdr w:val="none" w:sz="0" w:space="0" w:color="auto"/>
          <w:lang w:eastAsia="es-MX"/>
        </w:rPr>
        <w:t>lvales@ccorreo.xoc.uam.mx</w:t>
      </w:r>
    </w:p>
    <w:p w14:paraId="0EC221EF" w14:textId="59514A1C" w:rsidR="006735A7" w:rsidRPr="00D17A23" w:rsidRDefault="00D17A23" w:rsidP="006735A7">
      <w:pPr>
        <w:pStyle w:val="Sinespaciado"/>
        <w:jc w:val="right"/>
        <w:rPr>
          <w:rFonts w:ascii="Times New Roman" w:eastAsia="Times New Roman" w:hAnsi="Times New Roman" w:cs="Times New Roman"/>
          <w:color w:val="auto"/>
          <w:sz w:val="24"/>
          <w:szCs w:val="24"/>
          <w:bdr w:val="none" w:sz="0" w:space="0" w:color="auto"/>
          <w:lang w:val="es-ES" w:eastAsia="es-ES"/>
        </w:rPr>
      </w:pPr>
      <w:r w:rsidRPr="00D17A23">
        <w:rPr>
          <w:rFonts w:ascii="Times New Roman" w:eastAsia="Times New Roman" w:hAnsi="Times New Roman" w:cs="Times New Roman"/>
          <w:color w:val="auto"/>
          <w:sz w:val="24"/>
          <w:szCs w:val="24"/>
          <w:bdr w:val="none" w:sz="0" w:space="0" w:color="auto"/>
          <w:lang w:val="es-ES" w:eastAsia="es-ES"/>
        </w:rPr>
        <w:t>https://orcid.org/</w:t>
      </w:r>
      <w:hyperlink r:id="rId8" w:history="1">
        <w:r w:rsidRPr="00D17A23">
          <w:rPr>
            <w:rFonts w:ascii="Times New Roman" w:eastAsia="Times New Roman" w:hAnsi="Times New Roman" w:cs="Times New Roman"/>
            <w:color w:val="auto"/>
            <w:sz w:val="24"/>
            <w:szCs w:val="24"/>
            <w:bdr w:val="none" w:sz="0" w:space="0" w:color="auto"/>
            <w:lang w:val="es-ES" w:eastAsia="es-ES"/>
          </w:rPr>
          <w:t>0000-0001-6592-3656</w:t>
        </w:r>
      </w:hyperlink>
    </w:p>
    <w:p w14:paraId="53416B10" w14:textId="77777777" w:rsidR="006735A7" w:rsidRPr="00EE3D94" w:rsidRDefault="006735A7" w:rsidP="006735A7">
      <w:pPr>
        <w:pStyle w:val="Sinespaciado"/>
        <w:rPr>
          <w:rFonts w:ascii="Times New Roman" w:hAnsi="Times New Roman" w:cs="Times New Roman"/>
          <w:sz w:val="24"/>
          <w:szCs w:val="24"/>
        </w:rPr>
      </w:pPr>
    </w:p>
    <w:p w14:paraId="35485A56" w14:textId="77777777" w:rsidR="0042030D" w:rsidRPr="00EE3D94" w:rsidRDefault="0042030D" w:rsidP="0042030D">
      <w:pPr>
        <w:pStyle w:val="Sinespaciado"/>
        <w:spacing w:line="360" w:lineRule="auto"/>
        <w:jc w:val="both"/>
        <w:rPr>
          <w:rFonts w:ascii="Times New Roman" w:hAnsi="Times New Roman" w:cs="Times New Roman"/>
          <w:sz w:val="24"/>
          <w:szCs w:val="24"/>
        </w:rPr>
      </w:pPr>
    </w:p>
    <w:p w14:paraId="33BE5E86" w14:textId="77777777" w:rsidR="0042030D" w:rsidRPr="006735A7" w:rsidRDefault="0042030D" w:rsidP="0042030D">
      <w:pPr>
        <w:pStyle w:val="Sinespaciado"/>
        <w:spacing w:line="360" w:lineRule="auto"/>
        <w:jc w:val="both"/>
        <w:rPr>
          <w:rFonts w:ascii="Arial" w:eastAsia="Times New Roman" w:hAnsi="Arial" w:cs="Arial"/>
          <w:b/>
          <w:bCs/>
          <w:color w:val="auto"/>
          <w:sz w:val="24"/>
          <w:szCs w:val="24"/>
          <w:bdr w:val="none" w:sz="0" w:space="0" w:color="auto"/>
          <w:lang w:val="es-MX" w:eastAsia="en-US"/>
        </w:rPr>
      </w:pPr>
      <w:r w:rsidRPr="006735A7">
        <w:rPr>
          <w:rFonts w:ascii="Arial" w:eastAsia="Times New Roman" w:hAnsi="Arial" w:cs="Arial"/>
          <w:b/>
          <w:bCs/>
          <w:color w:val="auto"/>
          <w:sz w:val="24"/>
          <w:szCs w:val="24"/>
          <w:bdr w:val="none" w:sz="0" w:space="0" w:color="auto"/>
          <w:lang w:val="es-MX" w:eastAsia="en-US"/>
        </w:rPr>
        <w:t>Resumen</w:t>
      </w:r>
    </w:p>
    <w:p w14:paraId="1952BF48" w14:textId="31052AC7" w:rsidR="00F731EA" w:rsidRPr="00EE3D94" w:rsidRDefault="0042030D" w:rsidP="006735A7">
      <w:pPr>
        <w:pStyle w:val="Sinespaciado"/>
        <w:spacing w:line="360" w:lineRule="auto"/>
        <w:jc w:val="both"/>
        <w:rPr>
          <w:rFonts w:ascii="Times New Roman" w:hAnsi="Times New Roman" w:cs="Times New Roman"/>
          <w:sz w:val="24"/>
          <w:szCs w:val="24"/>
        </w:rPr>
      </w:pPr>
      <w:r w:rsidRPr="00EE3D94">
        <w:rPr>
          <w:rFonts w:ascii="Times New Roman" w:hAnsi="Times New Roman" w:cs="Times New Roman"/>
          <w:sz w:val="24"/>
          <w:szCs w:val="24"/>
        </w:rPr>
        <w:t xml:space="preserve">El documento </w:t>
      </w:r>
      <w:r w:rsidR="00AF3F1E" w:rsidRPr="00EE3D94">
        <w:rPr>
          <w:rFonts w:ascii="Times New Roman" w:hAnsi="Times New Roman" w:cs="Times New Roman"/>
          <w:sz w:val="24"/>
          <w:szCs w:val="24"/>
        </w:rPr>
        <w:t xml:space="preserve">tiene por objetivo </w:t>
      </w:r>
      <w:r w:rsidRPr="00EE3D94">
        <w:rPr>
          <w:rFonts w:ascii="Times New Roman" w:hAnsi="Times New Roman" w:cs="Times New Roman"/>
          <w:sz w:val="24"/>
          <w:szCs w:val="24"/>
        </w:rPr>
        <w:t>analiza</w:t>
      </w:r>
      <w:r w:rsidR="00AF3F1E" w:rsidRPr="00EE3D94">
        <w:rPr>
          <w:rFonts w:ascii="Times New Roman" w:hAnsi="Times New Roman" w:cs="Times New Roman"/>
          <w:sz w:val="24"/>
          <w:szCs w:val="24"/>
        </w:rPr>
        <w:t>r</w:t>
      </w:r>
      <w:r w:rsidRPr="00EE3D94">
        <w:rPr>
          <w:rFonts w:ascii="Times New Roman" w:hAnsi="Times New Roman" w:cs="Times New Roman"/>
          <w:sz w:val="24"/>
          <w:szCs w:val="24"/>
        </w:rPr>
        <w:t xml:space="preserve"> </w:t>
      </w:r>
      <w:r w:rsidRPr="00F84B32">
        <w:rPr>
          <w:rFonts w:ascii="Times New Roman" w:hAnsi="Times New Roman" w:cs="Times New Roman"/>
          <w:sz w:val="24"/>
          <w:szCs w:val="24"/>
        </w:rPr>
        <w:t xml:space="preserve">cómo </w:t>
      </w:r>
      <w:r w:rsidR="00274BA9" w:rsidRPr="00F84B32">
        <w:rPr>
          <w:rFonts w:ascii="Times New Roman" w:hAnsi="Times New Roman" w:cs="Times New Roman"/>
          <w:sz w:val="24"/>
          <w:szCs w:val="24"/>
        </w:rPr>
        <w:t>los recursos tecnológicos aplicados a la gestión legislativa inciden en la relación ciudadanos-representantes</w:t>
      </w:r>
      <w:r w:rsidR="00274BA9" w:rsidRPr="00EE3D94">
        <w:rPr>
          <w:rFonts w:ascii="Times New Roman" w:hAnsi="Times New Roman" w:cs="Times New Roman"/>
          <w:sz w:val="24"/>
          <w:szCs w:val="24"/>
        </w:rPr>
        <w:t xml:space="preserve"> en la región latinoamericana. </w:t>
      </w:r>
      <w:r w:rsidRPr="00EE3D94">
        <w:rPr>
          <w:rFonts w:ascii="Times New Roman" w:hAnsi="Times New Roman" w:cs="Times New Roman"/>
          <w:sz w:val="24"/>
          <w:szCs w:val="24"/>
        </w:rPr>
        <w:t xml:space="preserve">El estudio </w:t>
      </w:r>
      <w:r w:rsidR="00274BA9" w:rsidRPr="00EE3D94">
        <w:rPr>
          <w:rFonts w:ascii="Times New Roman" w:hAnsi="Times New Roman" w:cs="Times New Roman"/>
          <w:sz w:val="24"/>
          <w:szCs w:val="24"/>
        </w:rPr>
        <w:t>se elaboró</w:t>
      </w:r>
      <w:r w:rsidRPr="00EE3D94">
        <w:rPr>
          <w:rFonts w:ascii="Times New Roman" w:hAnsi="Times New Roman" w:cs="Times New Roman"/>
          <w:sz w:val="24"/>
          <w:szCs w:val="24"/>
        </w:rPr>
        <w:t xml:space="preserve"> </w:t>
      </w:r>
      <w:r w:rsidR="00274BA9" w:rsidRPr="00EE3D94">
        <w:rPr>
          <w:rFonts w:ascii="Times New Roman" w:hAnsi="Times New Roman" w:cs="Times New Roman"/>
          <w:sz w:val="24"/>
          <w:szCs w:val="24"/>
        </w:rPr>
        <w:t xml:space="preserve">con base en </w:t>
      </w:r>
      <w:r w:rsidRPr="00EE3D94">
        <w:rPr>
          <w:rFonts w:ascii="Times New Roman" w:hAnsi="Times New Roman" w:cs="Times New Roman"/>
          <w:sz w:val="24"/>
          <w:szCs w:val="24"/>
        </w:rPr>
        <w:t>un análisis c</w:t>
      </w:r>
      <w:r w:rsidR="00274BA9" w:rsidRPr="00EE3D94">
        <w:rPr>
          <w:rFonts w:ascii="Times New Roman" w:hAnsi="Times New Roman" w:cs="Times New Roman"/>
          <w:sz w:val="24"/>
          <w:szCs w:val="24"/>
        </w:rPr>
        <w:t>omparativo de las experiencias en los congresos latinoamericanos</w:t>
      </w:r>
      <w:r w:rsidRPr="00EE3D94">
        <w:rPr>
          <w:rFonts w:ascii="Times New Roman" w:hAnsi="Times New Roman" w:cs="Times New Roman"/>
          <w:sz w:val="24"/>
          <w:szCs w:val="24"/>
        </w:rPr>
        <w:t xml:space="preserve"> </w:t>
      </w:r>
      <w:r w:rsidR="003E5E41">
        <w:rPr>
          <w:rFonts w:ascii="Times New Roman" w:hAnsi="Times New Roman" w:cs="Times New Roman"/>
          <w:sz w:val="24"/>
          <w:szCs w:val="24"/>
        </w:rPr>
        <w:t>basado</w:t>
      </w:r>
      <w:r w:rsidRPr="00EE3D94">
        <w:rPr>
          <w:rFonts w:ascii="Times New Roman" w:hAnsi="Times New Roman" w:cs="Times New Roman"/>
          <w:sz w:val="24"/>
          <w:szCs w:val="24"/>
        </w:rPr>
        <w:t xml:space="preserve"> en tres criterios:</w:t>
      </w:r>
      <w:r w:rsidR="003E5E41">
        <w:rPr>
          <w:rFonts w:ascii="Times New Roman" w:hAnsi="Times New Roman" w:cs="Times New Roman"/>
          <w:sz w:val="24"/>
          <w:szCs w:val="24"/>
        </w:rPr>
        <w:t xml:space="preserve"> </w:t>
      </w:r>
      <w:r w:rsidRPr="00EE3D94">
        <w:rPr>
          <w:rFonts w:ascii="Times New Roman" w:hAnsi="Times New Roman" w:cs="Times New Roman"/>
          <w:sz w:val="24"/>
          <w:szCs w:val="24"/>
        </w:rPr>
        <w:t>1</w:t>
      </w:r>
      <w:r w:rsidRPr="00F84B32">
        <w:rPr>
          <w:rFonts w:ascii="Times New Roman" w:hAnsi="Times New Roman" w:cs="Times New Roman"/>
          <w:sz w:val="24"/>
          <w:szCs w:val="24"/>
        </w:rPr>
        <w:t>) la rendición de cuentas vertical; 2) el acceso ciudadano a la información</w:t>
      </w:r>
      <w:r w:rsidR="003E5E41">
        <w:rPr>
          <w:rFonts w:ascii="Times New Roman" w:hAnsi="Times New Roman" w:cs="Times New Roman"/>
          <w:sz w:val="24"/>
          <w:szCs w:val="24"/>
        </w:rPr>
        <w:t>;</w:t>
      </w:r>
      <w:r w:rsidRPr="00F84B32">
        <w:rPr>
          <w:rFonts w:ascii="Times New Roman" w:hAnsi="Times New Roman" w:cs="Times New Roman"/>
          <w:sz w:val="24"/>
          <w:szCs w:val="24"/>
        </w:rPr>
        <w:t xml:space="preserve"> y 3) el nivel de incidencia </w:t>
      </w:r>
      <w:r w:rsidR="00274BA9" w:rsidRPr="00F84B32">
        <w:rPr>
          <w:rFonts w:ascii="Times New Roman" w:hAnsi="Times New Roman" w:cs="Times New Roman"/>
          <w:sz w:val="24"/>
          <w:szCs w:val="24"/>
        </w:rPr>
        <w:t xml:space="preserve">de participación ciudadana </w:t>
      </w:r>
      <w:r w:rsidRPr="00F84B32">
        <w:rPr>
          <w:rFonts w:ascii="Times New Roman" w:hAnsi="Times New Roman" w:cs="Times New Roman"/>
          <w:sz w:val="24"/>
          <w:szCs w:val="24"/>
        </w:rPr>
        <w:t>en las decisiones legislativas.</w:t>
      </w:r>
      <w:r w:rsidR="00274BA9" w:rsidRPr="00EE3D94">
        <w:rPr>
          <w:rFonts w:ascii="Times New Roman" w:hAnsi="Times New Roman" w:cs="Times New Roman"/>
          <w:sz w:val="24"/>
          <w:szCs w:val="24"/>
        </w:rPr>
        <w:t xml:space="preserve">  El primero </w:t>
      </w:r>
      <w:r w:rsidR="00D568A9" w:rsidRPr="00EE3D94">
        <w:rPr>
          <w:rFonts w:ascii="Times New Roman" w:hAnsi="Times New Roman" w:cs="Times New Roman"/>
          <w:sz w:val="24"/>
          <w:szCs w:val="24"/>
        </w:rPr>
        <w:t xml:space="preserve">se </w:t>
      </w:r>
      <w:r w:rsidR="00F731EA" w:rsidRPr="00EE3D94">
        <w:rPr>
          <w:rFonts w:ascii="Times New Roman" w:hAnsi="Times New Roman" w:cs="Times New Roman"/>
          <w:sz w:val="24"/>
          <w:szCs w:val="24"/>
        </w:rPr>
        <w:t>observa a partir de identificar los mecanismos institucionales para la mejora del equilibrio de poderes, así como la incidencia de los legisladores en el cargo a través de la reelección. El segundo elemento se analiza por medio de los diferentes informes regionales sobre transparencia legislativa y sistemas de información. Finalmente, la partic</w:t>
      </w:r>
      <w:r w:rsidR="002A2577" w:rsidRPr="00EE3D94">
        <w:rPr>
          <w:rFonts w:ascii="Times New Roman" w:hAnsi="Times New Roman" w:cs="Times New Roman"/>
          <w:sz w:val="24"/>
          <w:szCs w:val="24"/>
        </w:rPr>
        <w:t xml:space="preserve">ipación ciudadana, se verifica mediante </w:t>
      </w:r>
      <w:r w:rsidR="00F731EA" w:rsidRPr="00EE3D94">
        <w:rPr>
          <w:rFonts w:ascii="Times New Roman" w:hAnsi="Times New Roman" w:cs="Times New Roman"/>
          <w:sz w:val="24"/>
          <w:szCs w:val="24"/>
        </w:rPr>
        <w:t>la utilización de mecanismos de participación en la región.</w:t>
      </w:r>
    </w:p>
    <w:p w14:paraId="293D06E2" w14:textId="59043392" w:rsidR="0042030D" w:rsidRPr="00EE3D94" w:rsidRDefault="006D5AD3" w:rsidP="006735A7">
      <w:pPr>
        <w:pStyle w:val="Sinespaciado"/>
        <w:spacing w:line="360" w:lineRule="auto"/>
        <w:jc w:val="both"/>
        <w:rPr>
          <w:rFonts w:ascii="Times New Roman" w:hAnsi="Times New Roman" w:cs="Times New Roman"/>
          <w:sz w:val="24"/>
          <w:szCs w:val="24"/>
        </w:rPr>
      </w:pPr>
      <w:r w:rsidRPr="00EE3D94">
        <w:rPr>
          <w:rFonts w:ascii="Times New Roman" w:hAnsi="Times New Roman" w:cs="Times New Roman"/>
          <w:sz w:val="24"/>
          <w:szCs w:val="24"/>
        </w:rPr>
        <w:t xml:space="preserve">En el estudio fue posible identificar que </w:t>
      </w:r>
      <w:r w:rsidR="00274BA9" w:rsidRPr="00EE3D94">
        <w:rPr>
          <w:rFonts w:ascii="Times New Roman" w:hAnsi="Times New Roman" w:cs="Times New Roman"/>
          <w:sz w:val="24"/>
          <w:szCs w:val="24"/>
        </w:rPr>
        <w:t>el proceso de modernización legislat</w:t>
      </w:r>
      <w:r w:rsidR="00F731EA" w:rsidRPr="00EE3D94">
        <w:rPr>
          <w:rFonts w:ascii="Times New Roman" w:hAnsi="Times New Roman" w:cs="Times New Roman"/>
          <w:sz w:val="24"/>
          <w:szCs w:val="24"/>
        </w:rPr>
        <w:t>iva a la que se sometieron la mayoría de</w:t>
      </w:r>
      <w:r w:rsidR="0097789A">
        <w:rPr>
          <w:rFonts w:ascii="Times New Roman" w:hAnsi="Times New Roman" w:cs="Times New Roman"/>
          <w:sz w:val="24"/>
          <w:szCs w:val="24"/>
        </w:rPr>
        <w:t xml:space="preserve"> los</w:t>
      </w:r>
      <w:r w:rsidR="00F731EA" w:rsidRPr="00EE3D94">
        <w:rPr>
          <w:rFonts w:ascii="Times New Roman" w:hAnsi="Times New Roman" w:cs="Times New Roman"/>
          <w:sz w:val="24"/>
          <w:szCs w:val="24"/>
        </w:rPr>
        <w:t xml:space="preserve"> Congresos en América Latina, </w:t>
      </w:r>
      <w:r w:rsidR="00274BA9" w:rsidRPr="00EE3D94">
        <w:rPr>
          <w:rFonts w:ascii="Times New Roman" w:hAnsi="Times New Roman" w:cs="Times New Roman"/>
          <w:sz w:val="24"/>
          <w:szCs w:val="24"/>
        </w:rPr>
        <w:t xml:space="preserve">favoreció </w:t>
      </w:r>
      <w:r w:rsidR="003E5E41">
        <w:rPr>
          <w:rFonts w:ascii="Times New Roman" w:hAnsi="Times New Roman" w:cs="Times New Roman"/>
          <w:sz w:val="24"/>
          <w:szCs w:val="24"/>
        </w:rPr>
        <w:t>su</w:t>
      </w:r>
      <w:r w:rsidR="003E5E41" w:rsidRPr="00EE3D94">
        <w:rPr>
          <w:rFonts w:ascii="Times New Roman" w:hAnsi="Times New Roman" w:cs="Times New Roman"/>
          <w:sz w:val="24"/>
          <w:szCs w:val="24"/>
        </w:rPr>
        <w:t xml:space="preserve"> </w:t>
      </w:r>
      <w:r w:rsidR="00274BA9" w:rsidRPr="00EE3D94">
        <w:rPr>
          <w:rFonts w:ascii="Times New Roman" w:hAnsi="Times New Roman" w:cs="Times New Roman"/>
          <w:sz w:val="24"/>
          <w:szCs w:val="24"/>
        </w:rPr>
        <w:t>gestión, el acceso a la información, la transparencia, y la participación ciudadana en las decisiones legislativas</w:t>
      </w:r>
      <w:r w:rsidR="003E5E41">
        <w:rPr>
          <w:rFonts w:ascii="Times New Roman" w:hAnsi="Times New Roman" w:cs="Times New Roman"/>
          <w:sz w:val="24"/>
          <w:szCs w:val="24"/>
        </w:rPr>
        <w:t>.</w:t>
      </w:r>
      <w:r w:rsidR="003E5E41" w:rsidRPr="00EE3D94">
        <w:rPr>
          <w:rFonts w:ascii="Times New Roman" w:hAnsi="Times New Roman" w:cs="Times New Roman"/>
          <w:sz w:val="24"/>
          <w:szCs w:val="24"/>
        </w:rPr>
        <w:t xml:space="preserve"> </w:t>
      </w:r>
      <w:r w:rsidR="003E5E41">
        <w:rPr>
          <w:rFonts w:ascii="Times New Roman" w:hAnsi="Times New Roman" w:cs="Times New Roman"/>
          <w:sz w:val="24"/>
          <w:szCs w:val="24"/>
        </w:rPr>
        <w:t>S</w:t>
      </w:r>
      <w:r w:rsidR="003E5E41" w:rsidRPr="00EE3D94">
        <w:rPr>
          <w:rFonts w:ascii="Times New Roman" w:hAnsi="Times New Roman" w:cs="Times New Roman"/>
          <w:sz w:val="24"/>
          <w:szCs w:val="24"/>
        </w:rPr>
        <w:t xml:space="preserve">in </w:t>
      </w:r>
      <w:r w:rsidR="00274BA9" w:rsidRPr="00EE3D94">
        <w:rPr>
          <w:rFonts w:ascii="Times New Roman" w:hAnsi="Times New Roman" w:cs="Times New Roman"/>
          <w:sz w:val="24"/>
          <w:szCs w:val="24"/>
        </w:rPr>
        <w:t>embargo</w:t>
      </w:r>
      <w:r w:rsidRPr="00EE3D94">
        <w:rPr>
          <w:rFonts w:ascii="Times New Roman" w:hAnsi="Times New Roman" w:cs="Times New Roman"/>
          <w:sz w:val="24"/>
          <w:szCs w:val="24"/>
        </w:rPr>
        <w:t>, la introducción de</w:t>
      </w:r>
      <w:r w:rsidR="00274BA9" w:rsidRPr="00EE3D94">
        <w:rPr>
          <w:rFonts w:ascii="Times New Roman" w:hAnsi="Times New Roman" w:cs="Times New Roman"/>
          <w:sz w:val="24"/>
          <w:szCs w:val="24"/>
        </w:rPr>
        <w:t xml:space="preserve"> </w:t>
      </w:r>
      <w:r w:rsidRPr="00EE3D94">
        <w:rPr>
          <w:rFonts w:ascii="Times New Roman" w:hAnsi="Times New Roman" w:cs="Times New Roman"/>
          <w:sz w:val="24"/>
          <w:szCs w:val="24"/>
        </w:rPr>
        <w:t>los</w:t>
      </w:r>
      <w:r w:rsidR="00274BA9" w:rsidRPr="00EE3D94">
        <w:rPr>
          <w:rFonts w:ascii="Times New Roman" w:hAnsi="Times New Roman" w:cs="Times New Roman"/>
          <w:sz w:val="24"/>
          <w:szCs w:val="24"/>
        </w:rPr>
        <w:t xml:space="preserve"> recursos tecnológicos, </w:t>
      </w:r>
      <w:r w:rsidRPr="00EE3D94">
        <w:rPr>
          <w:rFonts w:ascii="Times New Roman" w:hAnsi="Times New Roman" w:cs="Times New Roman"/>
          <w:sz w:val="24"/>
          <w:szCs w:val="24"/>
        </w:rPr>
        <w:t xml:space="preserve">no fue suficiente </w:t>
      </w:r>
      <w:r w:rsidRPr="00EE3D94">
        <w:rPr>
          <w:rFonts w:ascii="Times New Roman" w:hAnsi="Times New Roman" w:cs="Times New Roman"/>
          <w:sz w:val="24"/>
          <w:szCs w:val="24"/>
        </w:rPr>
        <w:lastRenderedPageBreak/>
        <w:t xml:space="preserve">para modificar </w:t>
      </w:r>
      <w:r w:rsidR="009C2131" w:rsidRPr="00EE3D94">
        <w:rPr>
          <w:rFonts w:ascii="Times New Roman" w:hAnsi="Times New Roman" w:cs="Times New Roman"/>
          <w:sz w:val="24"/>
          <w:szCs w:val="24"/>
        </w:rPr>
        <w:t xml:space="preserve">las prácticas políticas, </w:t>
      </w:r>
      <w:r w:rsidR="00274BA9" w:rsidRPr="00EE3D94">
        <w:rPr>
          <w:rFonts w:ascii="Times New Roman" w:hAnsi="Times New Roman" w:cs="Times New Roman"/>
          <w:sz w:val="24"/>
          <w:szCs w:val="24"/>
        </w:rPr>
        <w:t xml:space="preserve">la representación ciudadana y la </w:t>
      </w:r>
      <w:r w:rsidR="009C2131" w:rsidRPr="00EE3D94">
        <w:rPr>
          <w:rFonts w:ascii="Times New Roman" w:hAnsi="Times New Roman" w:cs="Times New Roman"/>
          <w:sz w:val="24"/>
          <w:szCs w:val="24"/>
        </w:rPr>
        <w:t xml:space="preserve">escasa </w:t>
      </w:r>
      <w:r w:rsidR="00274BA9" w:rsidRPr="00EE3D94">
        <w:rPr>
          <w:rFonts w:ascii="Times New Roman" w:hAnsi="Times New Roman" w:cs="Times New Roman"/>
          <w:sz w:val="24"/>
          <w:szCs w:val="24"/>
        </w:rPr>
        <w:t>rendición de cuentas</w:t>
      </w:r>
      <w:r w:rsidR="009C2131" w:rsidRPr="00EE3D94">
        <w:rPr>
          <w:rFonts w:ascii="Times New Roman" w:hAnsi="Times New Roman" w:cs="Times New Roman"/>
          <w:sz w:val="24"/>
          <w:szCs w:val="24"/>
        </w:rPr>
        <w:t xml:space="preserve"> que caracteriza a</w:t>
      </w:r>
      <w:r w:rsidR="00274BA9" w:rsidRPr="00EE3D94">
        <w:rPr>
          <w:rFonts w:ascii="Times New Roman" w:hAnsi="Times New Roman" w:cs="Times New Roman"/>
          <w:sz w:val="24"/>
          <w:szCs w:val="24"/>
        </w:rPr>
        <w:t xml:space="preserve"> la región, </w:t>
      </w:r>
      <w:r w:rsidR="009C2131" w:rsidRPr="00EE3D94">
        <w:rPr>
          <w:rFonts w:ascii="Times New Roman" w:hAnsi="Times New Roman" w:cs="Times New Roman"/>
          <w:sz w:val="24"/>
          <w:szCs w:val="24"/>
        </w:rPr>
        <w:t>lo que ha mante</w:t>
      </w:r>
      <w:r w:rsidR="00274BA9" w:rsidRPr="00EE3D94">
        <w:rPr>
          <w:rFonts w:ascii="Times New Roman" w:hAnsi="Times New Roman" w:cs="Times New Roman"/>
          <w:sz w:val="24"/>
          <w:szCs w:val="24"/>
        </w:rPr>
        <w:t>n</w:t>
      </w:r>
      <w:r w:rsidR="009C2131" w:rsidRPr="00EE3D94">
        <w:rPr>
          <w:rFonts w:ascii="Times New Roman" w:hAnsi="Times New Roman" w:cs="Times New Roman"/>
          <w:sz w:val="24"/>
          <w:szCs w:val="24"/>
        </w:rPr>
        <w:t>ido</w:t>
      </w:r>
      <w:r w:rsidR="00274BA9" w:rsidRPr="00EE3D94">
        <w:rPr>
          <w:rFonts w:ascii="Times New Roman" w:hAnsi="Times New Roman" w:cs="Times New Roman"/>
          <w:sz w:val="24"/>
          <w:szCs w:val="24"/>
        </w:rPr>
        <w:t xml:space="preserve"> a los </w:t>
      </w:r>
      <w:r w:rsidR="003E5E41">
        <w:rPr>
          <w:rFonts w:ascii="Times New Roman" w:hAnsi="Times New Roman" w:cs="Times New Roman"/>
          <w:sz w:val="24"/>
          <w:szCs w:val="24"/>
        </w:rPr>
        <w:t>c</w:t>
      </w:r>
      <w:r w:rsidR="003E5E41" w:rsidRPr="00EE3D94">
        <w:rPr>
          <w:rFonts w:ascii="Times New Roman" w:hAnsi="Times New Roman" w:cs="Times New Roman"/>
          <w:sz w:val="24"/>
          <w:szCs w:val="24"/>
        </w:rPr>
        <w:t xml:space="preserve">ongresos </w:t>
      </w:r>
      <w:r w:rsidR="00274BA9" w:rsidRPr="00EE3D94">
        <w:rPr>
          <w:rFonts w:ascii="Times New Roman" w:hAnsi="Times New Roman" w:cs="Times New Roman"/>
          <w:sz w:val="24"/>
          <w:szCs w:val="24"/>
        </w:rPr>
        <w:t>latinoamericanos en una complicada crisis de credibilidad y confianza</w:t>
      </w:r>
      <w:r w:rsidR="00F731EA" w:rsidRPr="00EE3D94">
        <w:rPr>
          <w:rFonts w:ascii="Times New Roman" w:hAnsi="Times New Roman" w:cs="Times New Roman"/>
          <w:sz w:val="24"/>
          <w:szCs w:val="24"/>
        </w:rPr>
        <w:t xml:space="preserve"> ciudadana</w:t>
      </w:r>
      <w:r w:rsidR="00274BA9" w:rsidRPr="00EE3D94">
        <w:rPr>
          <w:rFonts w:ascii="Times New Roman" w:hAnsi="Times New Roman" w:cs="Times New Roman"/>
          <w:sz w:val="24"/>
          <w:szCs w:val="24"/>
        </w:rPr>
        <w:t>.</w:t>
      </w:r>
    </w:p>
    <w:p w14:paraId="733A751F" w14:textId="77777777" w:rsidR="0042030D" w:rsidRPr="00EE3D94" w:rsidRDefault="0042030D" w:rsidP="0042030D">
      <w:pPr>
        <w:pStyle w:val="Sinespaciado"/>
        <w:jc w:val="both"/>
        <w:rPr>
          <w:rFonts w:ascii="Times New Roman" w:hAnsi="Times New Roman" w:cs="Times New Roman"/>
          <w:sz w:val="24"/>
          <w:szCs w:val="24"/>
        </w:rPr>
      </w:pPr>
    </w:p>
    <w:p w14:paraId="24AC0F2A" w14:textId="761711D4" w:rsidR="0042030D" w:rsidRDefault="0042030D" w:rsidP="006735A7">
      <w:pPr>
        <w:pStyle w:val="Sinespaciado"/>
        <w:spacing w:line="360" w:lineRule="auto"/>
        <w:jc w:val="both"/>
        <w:rPr>
          <w:rFonts w:ascii="Times New Roman" w:hAnsi="Times New Roman" w:cs="Times New Roman"/>
          <w:sz w:val="24"/>
          <w:szCs w:val="24"/>
        </w:rPr>
      </w:pPr>
      <w:r w:rsidRPr="006735A7">
        <w:rPr>
          <w:rFonts w:ascii="Arial" w:eastAsia="Times New Roman" w:hAnsi="Arial" w:cs="Arial"/>
          <w:b/>
          <w:bCs/>
          <w:color w:val="auto"/>
          <w:sz w:val="24"/>
          <w:szCs w:val="24"/>
          <w:bdr w:val="none" w:sz="0" w:space="0" w:color="auto"/>
          <w:lang w:val="es-MX" w:eastAsia="en-US"/>
        </w:rPr>
        <w:t>Palabras clave</w:t>
      </w:r>
      <w:r w:rsidR="003E5E41" w:rsidRPr="006735A7">
        <w:rPr>
          <w:rFonts w:ascii="Arial" w:eastAsia="Times New Roman" w:hAnsi="Arial" w:cs="Arial"/>
          <w:b/>
          <w:bCs/>
          <w:color w:val="auto"/>
          <w:sz w:val="24"/>
          <w:szCs w:val="24"/>
          <w:bdr w:val="none" w:sz="0" w:space="0" w:color="auto"/>
          <w:lang w:val="es-MX" w:eastAsia="en-US"/>
        </w:rPr>
        <w:t>:</w:t>
      </w:r>
      <w:r w:rsidR="003E5E41">
        <w:rPr>
          <w:rFonts w:ascii="Times New Roman" w:hAnsi="Times New Roman" w:cs="Times New Roman"/>
          <w:b/>
          <w:sz w:val="24"/>
          <w:szCs w:val="24"/>
        </w:rPr>
        <w:t xml:space="preserve"> </w:t>
      </w:r>
      <w:r w:rsidR="003E5E41">
        <w:rPr>
          <w:rFonts w:ascii="Times New Roman" w:hAnsi="Times New Roman" w:cs="Times New Roman"/>
          <w:sz w:val="24"/>
          <w:szCs w:val="24"/>
        </w:rPr>
        <w:t>congresos, congresos latinoamericanos, ciudadanía, rendición de cuentas, representación.</w:t>
      </w:r>
    </w:p>
    <w:p w14:paraId="6E13E388" w14:textId="0C0CB971" w:rsidR="006735A7" w:rsidRDefault="006735A7" w:rsidP="0042030D">
      <w:pPr>
        <w:pStyle w:val="Sinespaciado"/>
        <w:jc w:val="both"/>
        <w:rPr>
          <w:rFonts w:ascii="Times New Roman" w:hAnsi="Times New Roman" w:cs="Times New Roman"/>
          <w:sz w:val="24"/>
          <w:szCs w:val="24"/>
        </w:rPr>
      </w:pPr>
    </w:p>
    <w:p w14:paraId="5F32E037" w14:textId="108F60BF" w:rsidR="006735A7" w:rsidRPr="006735A7" w:rsidRDefault="006735A7" w:rsidP="0042030D">
      <w:pPr>
        <w:pStyle w:val="Sinespaciado"/>
        <w:jc w:val="both"/>
        <w:rPr>
          <w:rFonts w:ascii="Arial" w:eastAsia="Times New Roman" w:hAnsi="Arial" w:cs="Arial"/>
          <w:b/>
          <w:bCs/>
          <w:color w:val="auto"/>
          <w:sz w:val="24"/>
          <w:szCs w:val="24"/>
          <w:bdr w:val="none" w:sz="0" w:space="0" w:color="auto"/>
          <w:lang w:val="es-MX" w:eastAsia="en-US"/>
        </w:rPr>
      </w:pPr>
      <w:r w:rsidRPr="006735A7">
        <w:rPr>
          <w:rFonts w:ascii="Arial" w:eastAsia="Times New Roman" w:hAnsi="Arial" w:cs="Arial"/>
          <w:b/>
          <w:bCs/>
          <w:color w:val="auto"/>
          <w:sz w:val="24"/>
          <w:szCs w:val="24"/>
          <w:bdr w:val="none" w:sz="0" w:space="0" w:color="auto"/>
          <w:lang w:val="es-MX" w:eastAsia="en-US"/>
        </w:rPr>
        <w:t>Abstract</w:t>
      </w:r>
    </w:p>
    <w:p w14:paraId="3D2D53A4" w14:textId="77777777" w:rsidR="006735A7" w:rsidRPr="006735A7" w:rsidRDefault="006735A7" w:rsidP="006735A7">
      <w:pPr>
        <w:pStyle w:val="Sinespaciado"/>
        <w:spacing w:line="360" w:lineRule="auto"/>
        <w:jc w:val="both"/>
        <w:rPr>
          <w:rFonts w:ascii="Times New Roman" w:hAnsi="Times New Roman" w:cs="Times New Roman"/>
          <w:sz w:val="24"/>
          <w:szCs w:val="24"/>
        </w:rPr>
      </w:pPr>
      <w:r w:rsidRPr="006735A7">
        <w:rPr>
          <w:rFonts w:ascii="Times New Roman" w:hAnsi="Times New Roman" w:cs="Times New Roman"/>
          <w:sz w:val="24"/>
          <w:szCs w:val="24"/>
        </w:rPr>
        <w:t>The purpose of the document is to analyze how the technological resources applied to legislative management affect the relationship between citizens and representatives in the Latin American region. The study was developed based on a comparative analysis of experiences in Latin American congresses based on three criteria: 1) vertical accountability; 2) citizen access to information; and 3) the level of incidence of citizen participation in legislative decisions. The first is observed by identifying the institutional mechanisms for improving the balance of powers, as well as the incidence of legislators in office through re-election. The second element is analyzed through the different regional reports on legislative transparency and information systems. Finally, citizen participation is verified through the use of participation mechanisms in the region.</w:t>
      </w:r>
    </w:p>
    <w:p w14:paraId="0EEE9EE9" w14:textId="4BAE9FE8" w:rsidR="006735A7" w:rsidRPr="006735A7" w:rsidRDefault="006735A7" w:rsidP="006735A7">
      <w:pPr>
        <w:pStyle w:val="Sinespaciado"/>
        <w:spacing w:line="360" w:lineRule="auto"/>
        <w:jc w:val="both"/>
        <w:rPr>
          <w:rFonts w:ascii="Times New Roman" w:hAnsi="Times New Roman" w:cs="Times New Roman"/>
          <w:sz w:val="24"/>
          <w:szCs w:val="24"/>
        </w:rPr>
      </w:pPr>
      <w:r w:rsidRPr="006735A7">
        <w:rPr>
          <w:rFonts w:ascii="Times New Roman" w:hAnsi="Times New Roman" w:cs="Times New Roman"/>
          <w:sz w:val="24"/>
          <w:szCs w:val="24"/>
        </w:rPr>
        <w:t>In the study it was possible to identify that the process of legislative modernization to which most of the Congresses in Latin America submitted themselves, favored their management, access to information, transparency, and citizen participation in legislative decisions. However, the introduction of technological resources was not enough to modify the political practices, the citizen representation and the scarce accountability that characterizes the region, which has kept the Latin American congresses in a complicated crisis of credibility and trust. Citizen</w:t>
      </w:r>
      <w:r>
        <w:rPr>
          <w:rFonts w:ascii="Times New Roman" w:hAnsi="Times New Roman" w:cs="Times New Roman"/>
          <w:sz w:val="24"/>
          <w:szCs w:val="24"/>
        </w:rPr>
        <w:t>.</w:t>
      </w:r>
    </w:p>
    <w:p w14:paraId="677F2AEB" w14:textId="2EAF6B09" w:rsidR="006735A7" w:rsidRDefault="006735A7" w:rsidP="006735A7">
      <w:pPr>
        <w:pStyle w:val="Sinespaciado"/>
        <w:spacing w:line="360" w:lineRule="auto"/>
        <w:jc w:val="both"/>
        <w:rPr>
          <w:rFonts w:ascii="Times New Roman" w:hAnsi="Times New Roman" w:cs="Times New Roman"/>
          <w:sz w:val="24"/>
          <w:szCs w:val="24"/>
        </w:rPr>
      </w:pPr>
      <w:r w:rsidRPr="006735A7">
        <w:rPr>
          <w:rFonts w:ascii="Arial" w:eastAsia="Times New Roman" w:hAnsi="Arial" w:cs="Arial"/>
          <w:b/>
          <w:bCs/>
          <w:color w:val="auto"/>
          <w:sz w:val="24"/>
          <w:szCs w:val="24"/>
          <w:bdr w:val="none" w:sz="0" w:space="0" w:color="auto"/>
          <w:lang w:val="es-MX" w:eastAsia="en-US"/>
        </w:rPr>
        <w:t>Key words:</w:t>
      </w:r>
      <w:r w:rsidRPr="006735A7">
        <w:rPr>
          <w:rFonts w:ascii="Times New Roman" w:hAnsi="Times New Roman" w:cs="Times New Roman"/>
          <w:sz w:val="24"/>
          <w:szCs w:val="24"/>
        </w:rPr>
        <w:t xml:space="preserve"> congresses, Latin American congresses, citizenship, accountability, representation.</w:t>
      </w:r>
    </w:p>
    <w:p w14:paraId="1AA9FA0F" w14:textId="05EAD75C" w:rsidR="006735A7" w:rsidRDefault="006735A7" w:rsidP="006735A7">
      <w:pPr>
        <w:pStyle w:val="Sinespaciado"/>
        <w:spacing w:line="360" w:lineRule="auto"/>
        <w:jc w:val="both"/>
        <w:rPr>
          <w:rFonts w:ascii="Times New Roman" w:hAnsi="Times New Roman" w:cs="Times New Roman"/>
          <w:sz w:val="24"/>
          <w:szCs w:val="24"/>
        </w:rPr>
      </w:pPr>
    </w:p>
    <w:p w14:paraId="1D54A9F5" w14:textId="5408E50F" w:rsidR="006735A7" w:rsidRDefault="006735A7" w:rsidP="006735A7">
      <w:pPr>
        <w:pStyle w:val="Sinespaciado"/>
        <w:spacing w:line="360" w:lineRule="auto"/>
        <w:jc w:val="both"/>
        <w:rPr>
          <w:rFonts w:ascii="Times New Roman" w:hAnsi="Times New Roman" w:cs="Times New Roman"/>
          <w:sz w:val="24"/>
          <w:szCs w:val="24"/>
        </w:rPr>
      </w:pPr>
    </w:p>
    <w:p w14:paraId="74484E1B" w14:textId="14E963F6" w:rsidR="006735A7" w:rsidRDefault="006735A7" w:rsidP="006735A7">
      <w:pPr>
        <w:pStyle w:val="Sinespaciado"/>
        <w:spacing w:line="360" w:lineRule="auto"/>
        <w:jc w:val="both"/>
        <w:rPr>
          <w:rFonts w:ascii="Times New Roman" w:hAnsi="Times New Roman" w:cs="Times New Roman"/>
          <w:sz w:val="24"/>
          <w:szCs w:val="24"/>
        </w:rPr>
      </w:pPr>
    </w:p>
    <w:p w14:paraId="58AC9B79" w14:textId="77777777" w:rsidR="006735A7" w:rsidRPr="006735A7" w:rsidRDefault="006735A7" w:rsidP="006735A7">
      <w:pPr>
        <w:pStyle w:val="Sinespaciado"/>
        <w:spacing w:line="360" w:lineRule="auto"/>
        <w:jc w:val="both"/>
        <w:rPr>
          <w:rFonts w:ascii="Times New Roman" w:hAnsi="Times New Roman" w:cs="Times New Roman"/>
          <w:sz w:val="24"/>
          <w:szCs w:val="24"/>
        </w:rPr>
      </w:pPr>
    </w:p>
    <w:p w14:paraId="77CE7D1F" w14:textId="5505EEE0" w:rsidR="0042030D" w:rsidRDefault="0042030D" w:rsidP="0042030D">
      <w:pPr>
        <w:pStyle w:val="Sinespaciado"/>
        <w:jc w:val="both"/>
        <w:rPr>
          <w:rFonts w:ascii="Times New Roman" w:hAnsi="Times New Roman" w:cs="Times New Roman"/>
          <w:sz w:val="24"/>
          <w:szCs w:val="24"/>
        </w:rPr>
      </w:pPr>
    </w:p>
    <w:p w14:paraId="5FA9E389" w14:textId="44094493" w:rsidR="006735A7" w:rsidRPr="006735A7" w:rsidRDefault="006735A7" w:rsidP="0042030D">
      <w:pPr>
        <w:pStyle w:val="Sinespaciado"/>
        <w:jc w:val="both"/>
        <w:rPr>
          <w:rFonts w:ascii="Arial" w:eastAsia="Times New Roman" w:hAnsi="Arial" w:cs="Arial"/>
          <w:b/>
          <w:bCs/>
          <w:color w:val="auto"/>
          <w:sz w:val="24"/>
          <w:szCs w:val="24"/>
          <w:bdr w:val="none" w:sz="0" w:space="0" w:color="auto"/>
          <w:lang w:val="es-MX" w:eastAsia="en-US"/>
        </w:rPr>
      </w:pPr>
      <w:r w:rsidRPr="006735A7">
        <w:rPr>
          <w:rFonts w:ascii="Arial" w:eastAsia="Times New Roman" w:hAnsi="Arial" w:cs="Arial"/>
          <w:b/>
          <w:bCs/>
          <w:color w:val="auto"/>
          <w:sz w:val="24"/>
          <w:szCs w:val="24"/>
          <w:bdr w:val="none" w:sz="0" w:space="0" w:color="auto"/>
          <w:lang w:val="es-MX" w:eastAsia="en-US"/>
        </w:rPr>
        <w:t>Resumo</w:t>
      </w:r>
    </w:p>
    <w:p w14:paraId="4C67284F" w14:textId="77777777" w:rsidR="006735A7" w:rsidRPr="006735A7" w:rsidRDefault="006735A7" w:rsidP="006735A7">
      <w:pPr>
        <w:pStyle w:val="Sinespaciado"/>
        <w:spacing w:line="360" w:lineRule="auto"/>
        <w:jc w:val="both"/>
        <w:rPr>
          <w:rFonts w:ascii="Times New Roman" w:hAnsi="Times New Roman" w:cs="Times New Roman"/>
          <w:sz w:val="24"/>
          <w:szCs w:val="24"/>
        </w:rPr>
      </w:pPr>
      <w:r w:rsidRPr="006735A7">
        <w:rPr>
          <w:rFonts w:ascii="Times New Roman" w:hAnsi="Times New Roman" w:cs="Times New Roman"/>
          <w:sz w:val="24"/>
          <w:szCs w:val="24"/>
        </w:rPr>
        <w:t>O objetivo do documento é analisar como os recursos tecnológicos aplicados à gestão legislativa afetam a relação entre cidadãos e representantes na região latino-americana. O estudo foi desenvolvido com base em uma análise comparativa de experiências em congressos latino-americanos com base em três critérios: 1) accountability vertical; 2) acesso do cidadão à informação; e 3) o nível de incidência da participação do cidadão nas decisões legislativas. A primeira é observada identificando os mecanismos institucionais para melhorar o equilíbrio de poderes, bem como a incidência dos legisladores em exercício por meio da reeleição. O segundo elemento é analisado através dos diferentes relatórios regionais sobre transparência legislativa e sistemas de informação. Finalmente, a participação cidadã é verificada através do uso de mecanismos de participação na região.</w:t>
      </w:r>
    </w:p>
    <w:p w14:paraId="2C822E0D" w14:textId="2FF22178" w:rsidR="006735A7" w:rsidRPr="006735A7" w:rsidRDefault="006735A7" w:rsidP="006735A7">
      <w:pPr>
        <w:pStyle w:val="Sinespaciado"/>
        <w:spacing w:line="360" w:lineRule="auto"/>
        <w:jc w:val="both"/>
        <w:rPr>
          <w:rFonts w:ascii="Times New Roman" w:hAnsi="Times New Roman" w:cs="Times New Roman"/>
          <w:sz w:val="24"/>
          <w:szCs w:val="24"/>
        </w:rPr>
      </w:pPr>
      <w:r w:rsidRPr="006735A7">
        <w:rPr>
          <w:rFonts w:ascii="Times New Roman" w:hAnsi="Times New Roman" w:cs="Times New Roman"/>
          <w:sz w:val="24"/>
          <w:szCs w:val="24"/>
        </w:rPr>
        <w:t>No estudo foi possível identificar que o processo de modernização legislativa ao qual se submeteram a maioria dos congressos da América Latina favoreceu sua gestão, acesso à informação, transparência e participação cidadã nas decisões legislativas. No entanto, a introdução de recursos tecnológicos não foi suficiente para modificar as práticas políticas, a representação cidadã e a escassa accountability que caracteriza a região, que manteve os congressos latino-americanos em uma complicada crise de credibilidade e confiança. Cidadão</w:t>
      </w:r>
      <w:r>
        <w:rPr>
          <w:rFonts w:ascii="Times New Roman" w:hAnsi="Times New Roman" w:cs="Times New Roman"/>
          <w:sz w:val="24"/>
          <w:szCs w:val="24"/>
        </w:rPr>
        <w:t>.</w:t>
      </w:r>
    </w:p>
    <w:p w14:paraId="192D69EA" w14:textId="77777777" w:rsidR="006735A7" w:rsidRPr="006735A7" w:rsidRDefault="006735A7" w:rsidP="006735A7">
      <w:pPr>
        <w:pStyle w:val="Sinespaciado"/>
        <w:jc w:val="both"/>
        <w:rPr>
          <w:rFonts w:ascii="Times New Roman" w:hAnsi="Times New Roman" w:cs="Times New Roman"/>
          <w:sz w:val="24"/>
          <w:szCs w:val="24"/>
        </w:rPr>
      </w:pPr>
    </w:p>
    <w:p w14:paraId="32989D09" w14:textId="51A4B5E9" w:rsidR="006735A7" w:rsidRDefault="006735A7" w:rsidP="006735A7">
      <w:pPr>
        <w:pStyle w:val="Sinespaciado"/>
        <w:spacing w:line="360" w:lineRule="auto"/>
        <w:jc w:val="both"/>
        <w:rPr>
          <w:rFonts w:ascii="Times New Roman" w:hAnsi="Times New Roman" w:cs="Times New Roman"/>
          <w:sz w:val="24"/>
          <w:szCs w:val="24"/>
        </w:rPr>
      </w:pPr>
      <w:r w:rsidRPr="006735A7">
        <w:rPr>
          <w:rFonts w:ascii="Arial" w:eastAsia="Times New Roman" w:hAnsi="Arial" w:cs="Arial"/>
          <w:b/>
          <w:bCs/>
          <w:color w:val="auto"/>
          <w:sz w:val="24"/>
          <w:szCs w:val="24"/>
          <w:bdr w:val="none" w:sz="0" w:space="0" w:color="auto"/>
          <w:lang w:val="es-MX" w:eastAsia="en-US"/>
        </w:rPr>
        <w:t>Palavras-chave:</w:t>
      </w:r>
      <w:r w:rsidRPr="006735A7">
        <w:rPr>
          <w:rFonts w:ascii="Times New Roman" w:hAnsi="Times New Roman" w:cs="Times New Roman"/>
          <w:sz w:val="24"/>
          <w:szCs w:val="24"/>
        </w:rPr>
        <w:t xml:space="preserve"> congressos, congressos latino-americanos, cidadania, prestação de contas, representação.</w:t>
      </w:r>
    </w:p>
    <w:p w14:paraId="36E394C5" w14:textId="53CF1D56" w:rsidR="006735A7" w:rsidRDefault="006735A7" w:rsidP="006735A7">
      <w:pPr>
        <w:pStyle w:val="Sinespaciado"/>
        <w:jc w:val="both"/>
        <w:rPr>
          <w:rFonts w:ascii="Times New Roman" w:hAnsi="Times New Roman" w:cs="Times New Roman"/>
          <w:sz w:val="24"/>
          <w:szCs w:val="24"/>
        </w:rPr>
      </w:pPr>
    </w:p>
    <w:p w14:paraId="7B4930E3" w14:textId="30D1F22C" w:rsidR="006735A7" w:rsidRPr="00D552EB" w:rsidRDefault="006735A7" w:rsidP="006735A7">
      <w:pPr>
        <w:spacing w:line="360" w:lineRule="auto"/>
        <w:jc w:val="both"/>
      </w:pPr>
      <w:r w:rsidRPr="00D552EB">
        <w:rPr>
          <w:b/>
          <w:bCs/>
        </w:rPr>
        <w:t>Fecha Recepción:</w:t>
      </w:r>
      <w:r w:rsidRPr="00D552EB">
        <w:t xml:space="preserve"> </w:t>
      </w:r>
      <w:r>
        <w:t>Julio</w:t>
      </w:r>
      <w:r w:rsidRPr="00D552EB">
        <w:t xml:space="preserve"> 2017     </w:t>
      </w:r>
      <w:r w:rsidRPr="00D552EB">
        <w:rPr>
          <w:b/>
          <w:bCs/>
        </w:rPr>
        <w:t>Fecha Aceptación:</w:t>
      </w:r>
      <w:r w:rsidRPr="00D552EB">
        <w:t xml:space="preserve"> </w:t>
      </w:r>
      <w:r>
        <w:t>Enero</w:t>
      </w:r>
      <w:r w:rsidRPr="00D552EB">
        <w:t xml:space="preserve"> 201</w:t>
      </w:r>
      <w:r>
        <w:t>8</w:t>
      </w:r>
      <w:r w:rsidRPr="00D552EB">
        <w:br/>
      </w:r>
      <w:r w:rsidR="00236921">
        <w:pict w14:anchorId="2274F0DE">
          <v:rect id="_x0000_i1025" style="width:446.5pt;height:1.5pt" o:hralign="center" o:hrstd="t" o:hr="t" fillcolor="#a0a0a0" stroked="f"/>
        </w:pict>
      </w:r>
    </w:p>
    <w:p w14:paraId="4BA548EE" w14:textId="77777777" w:rsidR="006735A7" w:rsidRPr="00EE3D94" w:rsidRDefault="006735A7" w:rsidP="006735A7">
      <w:pPr>
        <w:pStyle w:val="Sinespaciado"/>
        <w:jc w:val="both"/>
        <w:rPr>
          <w:rFonts w:ascii="Times New Roman" w:hAnsi="Times New Roman" w:cs="Times New Roman"/>
          <w:sz w:val="24"/>
          <w:szCs w:val="24"/>
        </w:rPr>
      </w:pPr>
    </w:p>
    <w:p w14:paraId="5237D81F" w14:textId="77777777" w:rsidR="004F6202" w:rsidRPr="00EE3D94" w:rsidRDefault="004F6202" w:rsidP="004F6202">
      <w:pPr>
        <w:pStyle w:val="Sinespaciado"/>
        <w:jc w:val="both"/>
        <w:rPr>
          <w:rFonts w:ascii="Times New Roman" w:hAnsi="Times New Roman" w:cs="Times New Roman"/>
          <w:sz w:val="24"/>
          <w:szCs w:val="24"/>
        </w:rPr>
      </w:pPr>
    </w:p>
    <w:p w14:paraId="1A975520" w14:textId="70D55941" w:rsidR="00696C52" w:rsidRDefault="00696C52" w:rsidP="004F6202">
      <w:pPr>
        <w:pStyle w:val="Sinespaciado"/>
        <w:jc w:val="both"/>
        <w:rPr>
          <w:rFonts w:ascii="Times New Roman" w:hAnsi="Times New Roman" w:cs="Times New Roman"/>
          <w:sz w:val="24"/>
          <w:szCs w:val="24"/>
        </w:rPr>
      </w:pPr>
    </w:p>
    <w:p w14:paraId="43CE0CD2" w14:textId="52CEB805" w:rsidR="006735A7" w:rsidRDefault="006735A7" w:rsidP="004F6202">
      <w:pPr>
        <w:pStyle w:val="Sinespaciado"/>
        <w:jc w:val="both"/>
        <w:rPr>
          <w:rFonts w:ascii="Times New Roman" w:hAnsi="Times New Roman" w:cs="Times New Roman"/>
          <w:sz w:val="24"/>
          <w:szCs w:val="24"/>
        </w:rPr>
      </w:pPr>
    </w:p>
    <w:p w14:paraId="5F766896" w14:textId="5C973B5A" w:rsidR="006735A7" w:rsidRDefault="006735A7" w:rsidP="004F6202">
      <w:pPr>
        <w:pStyle w:val="Sinespaciado"/>
        <w:jc w:val="both"/>
        <w:rPr>
          <w:rFonts w:ascii="Times New Roman" w:hAnsi="Times New Roman" w:cs="Times New Roman"/>
          <w:sz w:val="24"/>
          <w:szCs w:val="24"/>
        </w:rPr>
      </w:pPr>
    </w:p>
    <w:p w14:paraId="30CCC503" w14:textId="3AAECB59" w:rsidR="006735A7" w:rsidRDefault="006735A7" w:rsidP="004F6202">
      <w:pPr>
        <w:pStyle w:val="Sinespaciado"/>
        <w:jc w:val="both"/>
        <w:rPr>
          <w:rFonts w:ascii="Times New Roman" w:hAnsi="Times New Roman" w:cs="Times New Roman"/>
          <w:sz w:val="24"/>
          <w:szCs w:val="24"/>
        </w:rPr>
      </w:pPr>
    </w:p>
    <w:p w14:paraId="5EBBE534" w14:textId="6954EDDB" w:rsidR="006735A7" w:rsidRDefault="006735A7" w:rsidP="004F6202">
      <w:pPr>
        <w:pStyle w:val="Sinespaciado"/>
        <w:jc w:val="both"/>
        <w:rPr>
          <w:rFonts w:ascii="Times New Roman" w:hAnsi="Times New Roman" w:cs="Times New Roman"/>
          <w:sz w:val="24"/>
          <w:szCs w:val="24"/>
        </w:rPr>
      </w:pPr>
    </w:p>
    <w:p w14:paraId="7A35CEF6" w14:textId="7D519C7D" w:rsidR="006735A7" w:rsidRDefault="006735A7" w:rsidP="004F6202">
      <w:pPr>
        <w:pStyle w:val="Sinespaciado"/>
        <w:jc w:val="both"/>
        <w:rPr>
          <w:rFonts w:ascii="Times New Roman" w:hAnsi="Times New Roman" w:cs="Times New Roman"/>
          <w:sz w:val="24"/>
          <w:szCs w:val="24"/>
        </w:rPr>
      </w:pPr>
    </w:p>
    <w:p w14:paraId="3EED619E" w14:textId="33C6CE21" w:rsidR="006735A7" w:rsidRDefault="006735A7" w:rsidP="004F6202">
      <w:pPr>
        <w:pStyle w:val="Sinespaciado"/>
        <w:jc w:val="both"/>
        <w:rPr>
          <w:rFonts w:ascii="Times New Roman" w:hAnsi="Times New Roman" w:cs="Times New Roman"/>
          <w:sz w:val="24"/>
          <w:szCs w:val="24"/>
        </w:rPr>
      </w:pPr>
    </w:p>
    <w:p w14:paraId="6CDE98C2" w14:textId="77777777" w:rsidR="006735A7" w:rsidRPr="00EE3D94" w:rsidRDefault="006735A7" w:rsidP="004F6202">
      <w:pPr>
        <w:pStyle w:val="Sinespaciado"/>
        <w:jc w:val="both"/>
        <w:rPr>
          <w:rFonts w:ascii="Times New Roman" w:hAnsi="Times New Roman" w:cs="Times New Roman"/>
          <w:sz w:val="24"/>
          <w:szCs w:val="24"/>
        </w:rPr>
      </w:pPr>
    </w:p>
    <w:p w14:paraId="35515D7D" w14:textId="77777777" w:rsidR="003714DC" w:rsidRPr="006735A7" w:rsidRDefault="003714DC" w:rsidP="00E75702">
      <w:pPr>
        <w:pStyle w:val="Sinespaciado"/>
        <w:spacing w:line="360" w:lineRule="auto"/>
        <w:jc w:val="both"/>
        <w:rPr>
          <w:rFonts w:ascii="Arial" w:eastAsia="Times New Roman" w:hAnsi="Arial" w:cs="Arial"/>
          <w:b/>
          <w:bCs/>
          <w:color w:val="auto"/>
          <w:sz w:val="24"/>
          <w:szCs w:val="24"/>
          <w:bdr w:val="none" w:sz="0" w:space="0" w:color="auto"/>
          <w:lang w:val="es-MX" w:eastAsia="en-US"/>
        </w:rPr>
      </w:pPr>
      <w:r w:rsidRPr="006735A7">
        <w:rPr>
          <w:rFonts w:ascii="Arial" w:eastAsia="Times New Roman" w:hAnsi="Arial" w:cs="Arial"/>
          <w:b/>
          <w:bCs/>
          <w:color w:val="auto"/>
          <w:sz w:val="24"/>
          <w:szCs w:val="24"/>
          <w:bdr w:val="none" w:sz="0" w:space="0" w:color="auto"/>
          <w:lang w:val="es-MX" w:eastAsia="en-US"/>
        </w:rPr>
        <w:t>Introducción</w:t>
      </w:r>
    </w:p>
    <w:p w14:paraId="5ECF0398" w14:textId="49CE1A27" w:rsidR="00B94D68" w:rsidRPr="00EE3D94" w:rsidRDefault="0052533E"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t>En 2012</w:t>
      </w:r>
      <w:r w:rsidR="003E5E41">
        <w:rPr>
          <w:rFonts w:ascii="Times New Roman" w:hAnsi="Times New Roman" w:cs="Times New Roman"/>
          <w:sz w:val="24"/>
          <w:szCs w:val="24"/>
        </w:rPr>
        <w:t>,</w:t>
      </w:r>
      <w:r w:rsidRPr="00EE3D94">
        <w:rPr>
          <w:rFonts w:ascii="Times New Roman" w:hAnsi="Times New Roman" w:cs="Times New Roman"/>
          <w:sz w:val="24"/>
          <w:szCs w:val="24"/>
        </w:rPr>
        <w:t xml:space="preserve"> e</w:t>
      </w:r>
      <w:r w:rsidR="00B94D68" w:rsidRPr="00EE3D94">
        <w:rPr>
          <w:rFonts w:ascii="Times New Roman" w:hAnsi="Times New Roman" w:cs="Times New Roman"/>
          <w:sz w:val="24"/>
          <w:szCs w:val="24"/>
        </w:rPr>
        <w:t>l inform</w:t>
      </w:r>
      <w:r w:rsidRPr="00EE3D94">
        <w:rPr>
          <w:rFonts w:ascii="Times New Roman" w:hAnsi="Times New Roman" w:cs="Times New Roman"/>
          <w:sz w:val="24"/>
          <w:szCs w:val="24"/>
        </w:rPr>
        <w:t xml:space="preserve">e parlamentario mundial </w:t>
      </w:r>
      <w:r w:rsidR="00B94D68" w:rsidRPr="00EE3D94">
        <w:rPr>
          <w:rFonts w:ascii="Times New Roman" w:hAnsi="Times New Roman" w:cs="Times New Roman"/>
          <w:sz w:val="24"/>
          <w:szCs w:val="24"/>
        </w:rPr>
        <w:t xml:space="preserve">reportó el surgimiento de múltiples organizaciones de monitoreo parlamentario como una demanda de </w:t>
      </w:r>
      <w:r w:rsidR="0035758E" w:rsidRPr="00EE3D94">
        <w:rPr>
          <w:rFonts w:ascii="Times New Roman" w:hAnsi="Times New Roman" w:cs="Times New Roman"/>
          <w:sz w:val="24"/>
          <w:szCs w:val="24"/>
        </w:rPr>
        <w:t xml:space="preserve">receptividad </w:t>
      </w:r>
      <w:r w:rsidR="009C2131" w:rsidRPr="00EE3D94">
        <w:rPr>
          <w:rFonts w:ascii="Times New Roman" w:hAnsi="Times New Roman" w:cs="Times New Roman"/>
          <w:sz w:val="24"/>
          <w:szCs w:val="24"/>
        </w:rPr>
        <w:t>h</w:t>
      </w:r>
      <w:r w:rsidR="0035758E" w:rsidRPr="00EE3D94">
        <w:rPr>
          <w:rFonts w:ascii="Times New Roman" w:hAnsi="Times New Roman" w:cs="Times New Roman"/>
          <w:sz w:val="24"/>
          <w:szCs w:val="24"/>
        </w:rPr>
        <w:t>a</w:t>
      </w:r>
      <w:r w:rsidR="009C2131" w:rsidRPr="00EE3D94">
        <w:rPr>
          <w:rFonts w:ascii="Times New Roman" w:hAnsi="Times New Roman" w:cs="Times New Roman"/>
          <w:sz w:val="24"/>
          <w:szCs w:val="24"/>
        </w:rPr>
        <w:t>cia</w:t>
      </w:r>
      <w:r w:rsidR="0035758E" w:rsidRPr="00EE3D94">
        <w:rPr>
          <w:rFonts w:ascii="Times New Roman" w:hAnsi="Times New Roman" w:cs="Times New Roman"/>
          <w:sz w:val="24"/>
          <w:szCs w:val="24"/>
        </w:rPr>
        <w:t xml:space="preserve"> los Congresos</w:t>
      </w:r>
      <w:r w:rsidR="00B94D68" w:rsidRPr="00EE3D94">
        <w:rPr>
          <w:rFonts w:ascii="Times New Roman" w:hAnsi="Times New Roman" w:cs="Times New Roman"/>
          <w:sz w:val="24"/>
          <w:szCs w:val="24"/>
        </w:rPr>
        <w:t>. En el informe</w:t>
      </w:r>
      <w:r w:rsidR="003E5E41">
        <w:rPr>
          <w:rFonts w:ascii="Times New Roman" w:hAnsi="Times New Roman" w:cs="Times New Roman"/>
          <w:sz w:val="24"/>
          <w:szCs w:val="24"/>
        </w:rPr>
        <w:t>,</w:t>
      </w:r>
      <w:r w:rsidR="00B94D68" w:rsidRPr="00EE3D94">
        <w:rPr>
          <w:rFonts w:ascii="Times New Roman" w:hAnsi="Times New Roman" w:cs="Times New Roman"/>
          <w:sz w:val="24"/>
          <w:szCs w:val="24"/>
        </w:rPr>
        <w:t xml:space="preserve"> se identificaron 191 organizaciones que monitor</w:t>
      </w:r>
      <w:r w:rsidR="0035758E" w:rsidRPr="00EE3D94">
        <w:rPr>
          <w:rFonts w:ascii="Times New Roman" w:hAnsi="Times New Roman" w:cs="Times New Roman"/>
          <w:sz w:val="24"/>
          <w:szCs w:val="24"/>
        </w:rPr>
        <w:t>ean actividades de 80 asamblea</w:t>
      </w:r>
      <w:r w:rsidR="00B94D68" w:rsidRPr="00EE3D94">
        <w:rPr>
          <w:rFonts w:ascii="Times New Roman" w:hAnsi="Times New Roman" w:cs="Times New Roman"/>
          <w:sz w:val="24"/>
          <w:szCs w:val="24"/>
        </w:rPr>
        <w:t xml:space="preserve">s nacionales </w:t>
      </w:r>
      <w:r w:rsidR="003E5E41">
        <w:rPr>
          <w:rFonts w:ascii="Times New Roman" w:hAnsi="Times New Roman" w:cs="Times New Roman"/>
          <w:sz w:val="24"/>
          <w:szCs w:val="24"/>
        </w:rPr>
        <w:t>que, mayoritariamente,</w:t>
      </w:r>
      <w:r w:rsidR="00B94D68" w:rsidRPr="00EE3D94">
        <w:rPr>
          <w:rFonts w:ascii="Times New Roman" w:hAnsi="Times New Roman" w:cs="Times New Roman"/>
          <w:sz w:val="24"/>
          <w:szCs w:val="24"/>
        </w:rPr>
        <w:t xml:space="preserve"> se localiza</w:t>
      </w:r>
      <w:r w:rsidR="003E5E41">
        <w:rPr>
          <w:rFonts w:ascii="Times New Roman" w:hAnsi="Times New Roman" w:cs="Times New Roman"/>
          <w:sz w:val="24"/>
          <w:szCs w:val="24"/>
        </w:rPr>
        <w:t>n</w:t>
      </w:r>
      <w:r w:rsidR="00B94D68" w:rsidRPr="00EE3D94">
        <w:rPr>
          <w:rFonts w:ascii="Times New Roman" w:hAnsi="Times New Roman" w:cs="Times New Roman"/>
          <w:sz w:val="24"/>
          <w:szCs w:val="24"/>
        </w:rPr>
        <w:t xml:space="preserve"> en América Latina (42) y Europa Central (28). Algunas ofrecen servicios de investigación y análisis para apoyar la labor de supervisión y escrutinio legislativo</w:t>
      </w:r>
      <w:r w:rsidR="00D13B4D" w:rsidRPr="00EE3D94">
        <w:rPr>
          <w:rFonts w:ascii="Times New Roman" w:hAnsi="Times New Roman" w:cs="Times New Roman"/>
          <w:sz w:val="24"/>
          <w:szCs w:val="24"/>
        </w:rPr>
        <w:t>; otras publican la trayectoria de los legisladores; otros grupos evalúan y califican el desempeño de los legisladores</w:t>
      </w:r>
      <w:r w:rsidR="001C5F71" w:rsidRPr="00EE3D94">
        <w:rPr>
          <w:rFonts w:ascii="Times New Roman" w:hAnsi="Times New Roman" w:cs="Times New Roman"/>
          <w:sz w:val="24"/>
          <w:szCs w:val="24"/>
        </w:rPr>
        <w:t xml:space="preserve"> (</w:t>
      </w:r>
      <w:r w:rsidR="003E5E41">
        <w:rPr>
          <w:rFonts w:ascii="Times New Roman" w:hAnsi="Times New Roman" w:cs="Times New Roman"/>
          <w:sz w:val="24"/>
          <w:szCs w:val="24"/>
        </w:rPr>
        <w:t>Programa de las Naciones Unidas para el Desarrollo [</w:t>
      </w:r>
      <w:r w:rsidR="009C2131" w:rsidRPr="00EE3D94">
        <w:rPr>
          <w:rFonts w:ascii="Times New Roman" w:hAnsi="Times New Roman" w:cs="Times New Roman"/>
          <w:sz w:val="24"/>
          <w:szCs w:val="24"/>
        </w:rPr>
        <w:t>PNUD</w:t>
      </w:r>
      <w:r w:rsidR="003E5E41">
        <w:rPr>
          <w:rFonts w:ascii="Times New Roman" w:hAnsi="Times New Roman" w:cs="Times New Roman"/>
          <w:sz w:val="24"/>
          <w:szCs w:val="24"/>
        </w:rPr>
        <w:t>]</w:t>
      </w:r>
      <w:r w:rsidR="009C2131" w:rsidRPr="00EE3D94">
        <w:rPr>
          <w:rFonts w:ascii="Times New Roman" w:hAnsi="Times New Roman" w:cs="Times New Roman"/>
          <w:sz w:val="24"/>
          <w:szCs w:val="24"/>
        </w:rPr>
        <w:t xml:space="preserve"> y</w:t>
      </w:r>
      <w:r w:rsidR="00932CDA" w:rsidRPr="00EE3D94">
        <w:rPr>
          <w:rFonts w:ascii="Times New Roman" w:hAnsi="Times New Roman" w:cs="Times New Roman"/>
          <w:sz w:val="24"/>
          <w:szCs w:val="24"/>
        </w:rPr>
        <w:t xml:space="preserve"> Unión Interparlamentaria, 2012)</w:t>
      </w:r>
      <w:r w:rsidR="00D13B4D" w:rsidRPr="00EE3D94">
        <w:rPr>
          <w:rFonts w:ascii="Times New Roman" w:hAnsi="Times New Roman" w:cs="Times New Roman"/>
          <w:sz w:val="24"/>
          <w:szCs w:val="24"/>
        </w:rPr>
        <w:t>.</w:t>
      </w:r>
    </w:p>
    <w:p w14:paraId="0D7C5350" w14:textId="682C3074" w:rsidR="00BD28EF" w:rsidRPr="00EE3D94" w:rsidRDefault="00D13B4D"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t>Este fenómeno s</w:t>
      </w:r>
      <w:r w:rsidR="0052533E" w:rsidRPr="00EE3D94">
        <w:rPr>
          <w:rFonts w:ascii="Times New Roman" w:hAnsi="Times New Roman" w:cs="Times New Roman"/>
          <w:sz w:val="24"/>
          <w:szCs w:val="24"/>
        </w:rPr>
        <w:t>urge a partir</w:t>
      </w:r>
      <w:r w:rsidRPr="00EE3D94">
        <w:rPr>
          <w:rFonts w:ascii="Times New Roman" w:hAnsi="Times New Roman" w:cs="Times New Roman"/>
          <w:sz w:val="24"/>
          <w:szCs w:val="24"/>
        </w:rPr>
        <w:t xml:space="preserve"> de</w:t>
      </w:r>
      <w:r w:rsidR="0052533E" w:rsidRPr="00EE3D94">
        <w:rPr>
          <w:rFonts w:ascii="Times New Roman" w:hAnsi="Times New Roman" w:cs="Times New Roman"/>
          <w:sz w:val="24"/>
          <w:szCs w:val="24"/>
        </w:rPr>
        <w:t>l uso de</w:t>
      </w:r>
      <w:r w:rsidRPr="00EE3D94">
        <w:rPr>
          <w:rFonts w:ascii="Times New Roman" w:hAnsi="Times New Roman" w:cs="Times New Roman"/>
          <w:sz w:val="24"/>
          <w:szCs w:val="24"/>
        </w:rPr>
        <w:t xml:space="preserve"> nuevas tecnologías que facilitan la comunicación parlamentaria. Además </w:t>
      </w:r>
      <w:r w:rsidR="0052533E" w:rsidRPr="00EE3D94">
        <w:rPr>
          <w:rFonts w:ascii="Times New Roman" w:hAnsi="Times New Roman" w:cs="Times New Roman"/>
          <w:sz w:val="24"/>
          <w:szCs w:val="24"/>
        </w:rPr>
        <w:t xml:space="preserve">del impacto tecnológico, </w:t>
      </w:r>
      <w:r w:rsidRPr="00EE3D94">
        <w:rPr>
          <w:rFonts w:ascii="Times New Roman" w:hAnsi="Times New Roman" w:cs="Times New Roman"/>
          <w:sz w:val="24"/>
          <w:szCs w:val="24"/>
        </w:rPr>
        <w:t xml:space="preserve">se debe agregar </w:t>
      </w:r>
      <w:r w:rsidR="0052533E" w:rsidRPr="00EE3D94">
        <w:rPr>
          <w:rFonts w:ascii="Times New Roman" w:hAnsi="Times New Roman" w:cs="Times New Roman"/>
          <w:sz w:val="24"/>
          <w:szCs w:val="24"/>
        </w:rPr>
        <w:t>que la transformación hacia</w:t>
      </w:r>
      <w:r w:rsidR="003714DC" w:rsidRPr="00EE3D94">
        <w:rPr>
          <w:rFonts w:ascii="Times New Roman" w:hAnsi="Times New Roman" w:cs="Times New Roman"/>
          <w:sz w:val="24"/>
          <w:szCs w:val="24"/>
        </w:rPr>
        <w:t xml:space="preserve"> la democracia de d</w:t>
      </w:r>
      <w:r w:rsidR="00406EAB" w:rsidRPr="00EE3D94">
        <w:rPr>
          <w:rFonts w:ascii="Times New Roman" w:hAnsi="Times New Roman" w:cs="Times New Roman"/>
          <w:sz w:val="24"/>
          <w:szCs w:val="24"/>
        </w:rPr>
        <w:t xml:space="preserve">iversos países </w:t>
      </w:r>
      <w:r w:rsidRPr="00EE3D94">
        <w:rPr>
          <w:rFonts w:ascii="Times New Roman" w:hAnsi="Times New Roman" w:cs="Times New Roman"/>
          <w:sz w:val="24"/>
          <w:szCs w:val="24"/>
        </w:rPr>
        <w:t>en América Latina</w:t>
      </w:r>
      <w:r w:rsidR="00406EAB" w:rsidRPr="00EE3D94">
        <w:rPr>
          <w:rFonts w:ascii="Times New Roman" w:hAnsi="Times New Roman" w:cs="Times New Roman"/>
          <w:sz w:val="24"/>
          <w:szCs w:val="24"/>
        </w:rPr>
        <w:t xml:space="preserve"> ha </w:t>
      </w:r>
      <w:r w:rsidR="003714DC" w:rsidRPr="00EE3D94">
        <w:rPr>
          <w:rFonts w:ascii="Times New Roman" w:hAnsi="Times New Roman" w:cs="Times New Roman"/>
          <w:sz w:val="24"/>
          <w:szCs w:val="24"/>
        </w:rPr>
        <w:t>aument</w:t>
      </w:r>
      <w:r w:rsidR="00406EAB" w:rsidRPr="00EE3D94">
        <w:rPr>
          <w:rFonts w:ascii="Times New Roman" w:hAnsi="Times New Roman" w:cs="Times New Roman"/>
          <w:sz w:val="24"/>
          <w:szCs w:val="24"/>
        </w:rPr>
        <w:t>ado</w:t>
      </w:r>
      <w:r w:rsidR="003714DC" w:rsidRPr="00EE3D94">
        <w:rPr>
          <w:rFonts w:ascii="Times New Roman" w:hAnsi="Times New Roman" w:cs="Times New Roman"/>
          <w:sz w:val="24"/>
          <w:szCs w:val="24"/>
        </w:rPr>
        <w:t xml:space="preserve"> </w:t>
      </w:r>
      <w:r w:rsidR="00DB7E1C" w:rsidRPr="00EE3D94">
        <w:rPr>
          <w:rFonts w:ascii="Times New Roman" w:hAnsi="Times New Roman" w:cs="Times New Roman"/>
          <w:sz w:val="24"/>
          <w:szCs w:val="24"/>
        </w:rPr>
        <w:t xml:space="preserve">las expectativas de los ciudadanos respecto a sus instituciones democráticas, particularmente las de corte representativo. </w:t>
      </w:r>
      <w:r w:rsidR="00406EAB" w:rsidRPr="00EE3D94">
        <w:rPr>
          <w:rFonts w:ascii="Times New Roman" w:hAnsi="Times New Roman" w:cs="Times New Roman"/>
          <w:sz w:val="24"/>
          <w:szCs w:val="24"/>
        </w:rPr>
        <w:t>E</w:t>
      </w:r>
      <w:r w:rsidR="00DB7E1C" w:rsidRPr="00EE3D94">
        <w:rPr>
          <w:rFonts w:ascii="Times New Roman" w:hAnsi="Times New Roman" w:cs="Times New Roman"/>
          <w:sz w:val="24"/>
          <w:szCs w:val="24"/>
        </w:rPr>
        <w:t>l arribo democrático</w:t>
      </w:r>
      <w:r w:rsidR="00533E20" w:rsidRPr="00EE3D94">
        <w:rPr>
          <w:rFonts w:ascii="Times New Roman" w:hAnsi="Times New Roman" w:cs="Times New Roman"/>
          <w:sz w:val="24"/>
          <w:szCs w:val="24"/>
        </w:rPr>
        <w:t xml:space="preserve"> a la región latinoamericana</w:t>
      </w:r>
      <w:r w:rsidR="00AB0397" w:rsidRPr="00EE3D94">
        <w:rPr>
          <w:rFonts w:ascii="Times New Roman" w:hAnsi="Times New Roman" w:cs="Times New Roman"/>
          <w:sz w:val="24"/>
          <w:szCs w:val="24"/>
        </w:rPr>
        <w:t xml:space="preserve"> ofreció la oportunidad</w:t>
      </w:r>
      <w:r w:rsidR="00DB7E1C" w:rsidRPr="00EE3D94">
        <w:rPr>
          <w:rFonts w:ascii="Times New Roman" w:hAnsi="Times New Roman" w:cs="Times New Roman"/>
          <w:sz w:val="24"/>
          <w:szCs w:val="24"/>
        </w:rPr>
        <w:t xml:space="preserve"> a dichas instituciones para adaptarse y adecuarse a las exigencias democráticas a través de procesos de modernización institucional</w:t>
      </w:r>
      <w:r w:rsidR="00533E20" w:rsidRPr="00EE3D94">
        <w:rPr>
          <w:rFonts w:ascii="Times New Roman" w:hAnsi="Times New Roman" w:cs="Times New Roman"/>
          <w:sz w:val="24"/>
          <w:szCs w:val="24"/>
        </w:rPr>
        <w:t xml:space="preserve"> y</w:t>
      </w:r>
      <w:r w:rsidR="00406EAB" w:rsidRPr="00EE3D94">
        <w:rPr>
          <w:rFonts w:ascii="Times New Roman" w:hAnsi="Times New Roman" w:cs="Times New Roman"/>
          <w:sz w:val="24"/>
          <w:szCs w:val="24"/>
        </w:rPr>
        <w:t xml:space="preserve"> tecnológica.</w:t>
      </w:r>
      <w:r w:rsidR="00DB7E1C" w:rsidRPr="00EE3D94">
        <w:rPr>
          <w:rFonts w:ascii="Times New Roman" w:hAnsi="Times New Roman" w:cs="Times New Roman"/>
          <w:sz w:val="24"/>
          <w:szCs w:val="24"/>
        </w:rPr>
        <w:t xml:space="preserve"> </w:t>
      </w:r>
    </w:p>
    <w:p w14:paraId="7594E1CD" w14:textId="30A65917" w:rsidR="00406EAB" w:rsidRPr="00EE3D94" w:rsidRDefault="00DB7E1C"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t xml:space="preserve">En el caso de los </w:t>
      </w:r>
      <w:r w:rsidR="0097789A">
        <w:rPr>
          <w:rFonts w:ascii="Times New Roman" w:hAnsi="Times New Roman" w:cs="Times New Roman"/>
          <w:sz w:val="24"/>
          <w:szCs w:val="24"/>
        </w:rPr>
        <w:t>C</w:t>
      </w:r>
      <w:r w:rsidR="0097789A" w:rsidRPr="00EE3D94">
        <w:rPr>
          <w:rFonts w:ascii="Times New Roman" w:hAnsi="Times New Roman" w:cs="Times New Roman"/>
          <w:sz w:val="24"/>
          <w:szCs w:val="24"/>
        </w:rPr>
        <w:t>ongresos</w:t>
      </w:r>
      <w:r w:rsidRPr="00EE3D94">
        <w:rPr>
          <w:rFonts w:ascii="Times New Roman" w:hAnsi="Times New Roman" w:cs="Times New Roman"/>
          <w:sz w:val="24"/>
          <w:szCs w:val="24"/>
        </w:rPr>
        <w:t xml:space="preserve">, estos </w:t>
      </w:r>
      <w:r w:rsidR="00482DD1" w:rsidRPr="00EE3D94">
        <w:rPr>
          <w:rFonts w:ascii="Times New Roman" w:hAnsi="Times New Roman" w:cs="Times New Roman"/>
          <w:sz w:val="24"/>
          <w:szCs w:val="24"/>
        </w:rPr>
        <w:t>prometían</w:t>
      </w:r>
      <w:r w:rsidRPr="00EE3D94">
        <w:rPr>
          <w:rFonts w:ascii="Times New Roman" w:hAnsi="Times New Roman" w:cs="Times New Roman"/>
          <w:sz w:val="24"/>
          <w:szCs w:val="24"/>
        </w:rPr>
        <w:t xml:space="preserve"> particular interés</w:t>
      </w:r>
      <w:r w:rsidR="003E5E41">
        <w:rPr>
          <w:rFonts w:ascii="Times New Roman" w:hAnsi="Times New Roman" w:cs="Times New Roman"/>
          <w:sz w:val="24"/>
          <w:szCs w:val="24"/>
        </w:rPr>
        <w:t>,</w:t>
      </w:r>
      <w:r w:rsidRPr="00EE3D94">
        <w:rPr>
          <w:rFonts w:ascii="Times New Roman" w:hAnsi="Times New Roman" w:cs="Times New Roman"/>
          <w:sz w:val="24"/>
          <w:szCs w:val="24"/>
        </w:rPr>
        <w:t xml:space="preserve"> pues</w:t>
      </w:r>
      <w:r w:rsidR="003E5E41">
        <w:rPr>
          <w:rFonts w:ascii="Times New Roman" w:hAnsi="Times New Roman" w:cs="Times New Roman"/>
          <w:sz w:val="24"/>
          <w:szCs w:val="24"/>
        </w:rPr>
        <w:t>,</w:t>
      </w:r>
      <w:r w:rsidRPr="00EE3D94">
        <w:rPr>
          <w:rFonts w:ascii="Times New Roman" w:hAnsi="Times New Roman" w:cs="Times New Roman"/>
          <w:sz w:val="24"/>
          <w:szCs w:val="24"/>
        </w:rPr>
        <w:t xml:space="preserve"> al</w:t>
      </w:r>
      <w:r w:rsidR="003714DC" w:rsidRPr="00EE3D94">
        <w:rPr>
          <w:rFonts w:ascii="Times New Roman" w:hAnsi="Times New Roman" w:cs="Times New Roman"/>
          <w:sz w:val="24"/>
          <w:szCs w:val="24"/>
        </w:rPr>
        <w:t xml:space="preserve"> retomar su función fiscalizadora</w:t>
      </w:r>
      <w:r w:rsidRPr="00EE3D94">
        <w:rPr>
          <w:rFonts w:ascii="Times New Roman" w:hAnsi="Times New Roman" w:cs="Times New Roman"/>
          <w:sz w:val="24"/>
          <w:szCs w:val="24"/>
        </w:rPr>
        <w:t xml:space="preserve"> y representativa</w:t>
      </w:r>
      <w:r w:rsidR="003714DC" w:rsidRPr="00EE3D94">
        <w:rPr>
          <w:rFonts w:ascii="Times New Roman" w:hAnsi="Times New Roman" w:cs="Times New Roman"/>
          <w:sz w:val="24"/>
          <w:szCs w:val="24"/>
        </w:rPr>
        <w:t>, contribu</w:t>
      </w:r>
      <w:r w:rsidRPr="00EE3D94">
        <w:rPr>
          <w:rFonts w:ascii="Times New Roman" w:hAnsi="Times New Roman" w:cs="Times New Roman"/>
          <w:sz w:val="24"/>
          <w:szCs w:val="24"/>
        </w:rPr>
        <w:t>irían</w:t>
      </w:r>
      <w:r w:rsidR="003714DC" w:rsidRPr="00EE3D94">
        <w:rPr>
          <w:rFonts w:ascii="Times New Roman" w:hAnsi="Times New Roman" w:cs="Times New Roman"/>
          <w:sz w:val="24"/>
          <w:szCs w:val="24"/>
        </w:rPr>
        <w:t xml:space="preserve"> </w:t>
      </w:r>
      <w:r w:rsidR="00BE5B3F" w:rsidRPr="00EE3D94">
        <w:rPr>
          <w:rFonts w:ascii="Times New Roman" w:hAnsi="Times New Roman" w:cs="Times New Roman"/>
          <w:sz w:val="24"/>
          <w:szCs w:val="24"/>
        </w:rPr>
        <w:t xml:space="preserve">con las </w:t>
      </w:r>
      <w:r w:rsidR="009C2131" w:rsidRPr="00EE3D94">
        <w:rPr>
          <w:rFonts w:ascii="Times New Roman" w:hAnsi="Times New Roman" w:cs="Times New Roman"/>
          <w:sz w:val="24"/>
          <w:szCs w:val="24"/>
        </w:rPr>
        <w:t>perspectivas</w:t>
      </w:r>
      <w:r w:rsidR="00BE5B3F" w:rsidRPr="00EE3D94">
        <w:rPr>
          <w:rFonts w:ascii="Times New Roman" w:hAnsi="Times New Roman" w:cs="Times New Roman"/>
          <w:sz w:val="24"/>
          <w:szCs w:val="24"/>
        </w:rPr>
        <w:t xml:space="preserve"> ciudadanas de gozar de </w:t>
      </w:r>
      <w:r w:rsidR="003714DC" w:rsidRPr="00EE3D94">
        <w:rPr>
          <w:rFonts w:ascii="Times New Roman" w:hAnsi="Times New Roman" w:cs="Times New Roman"/>
          <w:sz w:val="24"/>
          <w:szCs w:val="24"/>
        </w:rPr>
        <w:t xml:space="preserve">una democracia de calidad </w:t>
      </w:r>
      <w:r w:rsidR="00BE5B3F" w:rsidRPr="00EE3D94">
        <w:rPr>
          <w:rFonts w:ascii="Times New Roman" w:hAnsi="Times New Roman" w:cs="Times New Roman"/>
          <w:sz w:val="24"/>
          <w:szCs w:val="24"/>
        </w:rPr>
        <w:t xml:space="preserve">que acercara </w:t>
      </w:r>
      <w:r w:rsidR="003714DC" w:rsidRPr="00EE3D94">
        <w:rPr>
          <w:rFonts w:ascii="Times New Roman" w:hAnsi="Times New Roman" w:cs="Times New Roman"/>
          <w:sz w:val="24"/>
          <w:szCs w:val="24"/>
        </w:rPr>
        <w:t xml:space="preserve">la representación nacional a </w:t>
      </w:r>
      <w:r w:rsidR="00BE5B3F" w:rsidRPr="00EE3D94">
        <w:rPr>
          <w:rFonts w:ascii="Times New Roman" w:hAnsi="Times New Roman" w:cs="Times New Roman"/>
          <w:sz w:val="24"/>
          <w:szCs w:val="24"/>
        </w:rPr>
        <w:t xml:space="preserve">una </w:t>
      </w:r>
      <w:r w:rsidR="003714DC" w:rsidRPr="00EE3D94">
        <w:rPr>
          <w:rFonts w:ascii="Times New Roman" w:hAnsi="Times New Roman" w:cs="Times New Roman"/>
          <w:sz w:val="24"/>
          <w:szCs w:val="24"/>
        </w:rPr>
        <w:t xml:space="preserve">ciudadanía incrédula de </w:t>
      </w:r>
      <w:r w:rsidR="00E10C84" w:rsidRPr="00EE3D94">
        <w:rPr>
          <w:rFonts w:ascii="Times New Roman" w:hAnsi="Times New Roman" w:cs="Times New Roman"/>
          <w:sz w:val="24"/>
          <w:szCs w:val="24"/>
        </w:rPr>
        <w:t>gobiernos autoritarios, ineficientes y corruptos. El proceso de transformación institucional ha variado de país en país, pero</w:t>
      </w:r>
      <w:r w:rsidR="003E5E41">
        <w:rPr>
          <w:rFonts w:ascii="Times New Roman" w:hAnsi="Times New Roman" w:cs="Times New Roman"/>
          <w:sz w:val="24"/>
          <w:szCs w:val="24"/>
        </w:rPr>
        <w:t>,</w:t>
      </w:r>
      <w:r w:rsidR="00E10C84" w:rsidRPr="00EE3D94">
        <w:rPr>
          <w:rFonts w:ascii="Times New Roman" w:hAnsi="Times New Roman" w:cs="Times New Roman"/>
          <w:sz w:val="24"/>
          <w:szCs w:val="24"/>
        </w:rPr>
        <w:t xml:space="preserve"> en general</w:t>
      </w:r>
      <w:r w:rsidR="003E5E41">
        <w:rPr>
          <w:rFonts w:ascii="Times New Roman" w:hAnsi="Times New Roman" w:cs="Times New Roman"/>
          <w:sz w:val="24"/>
          <w:szCs w:val="24"/>
        </w:rPr>
        <w:t>,</w:t>
      </w:r>
      <w:r w:rsidR="00E10C84" w:rsidRPr="00EE3D94">
        <w:rPr>
          <w:rFonts w:ascii="Times New Roman" w:hAnsi="Times New Roman" w:cs="Times New Roman"/>
          <w:sz w:val="24"/>
          <w:szCs w:val="24"/>
        </w:rPr>
        <w:t xml:space="preserve"> se puede decir -coincidiendo </w:t>
      </w:r>
      <w:r w:rsidR="00406EAB" w:rsidRPr="00EE3D94">
        <w:rPr>
          <w:rFonts w:ascii="Times New Roman" w:hAnsi="Times New Roman" w:cs="Times New Roman"/>
          <w:sz w:val="24"/>
          <w:szCs w:val="24"/>
        </w:rPr>
        <w:t xml:space="preserve">en parte </w:t>
      </w:r>
      <w:r w:rsidR="00E10C84" w:rsidRPr="00EE3D94">
        <w:rPr>
          <w:rFonts w:ascii="Times New Roman" w:hAnsi="Times New Roman" w:cs="Times New Roman"/>
          <w:sz w:val="24"/>
          <w:szCs w:val="24"/>
        </w:rPr>
        <w:t>con Eli</w:t>
      </w:r>
      <w:r w:rsidR="00E409DF" w:rsidRPr="00EE3D94">
        <w:rPr>
          <w:rFonts w:ascii="Times New Roman" w:hAnsi="Times New Roman" w:cs="Times New Roman"/>
          <w:sz w:val="24"/>
          <w:szCs w:val="24"/>
        </w:rPr>
        <w:t>ce</w:t>
      </w:r>
      <w:r w:rsidR="00E10C84" w:rsidRPr="00EE3D94">
        <w:rPr>
          <w:rFonts w:ascii="Times New Roman" w:hAnsi="Times New Roman" w:cs="Times New Roman"/>
          <w:sz w:val="24"/>
          <w:szCs w:val="24"/>
        </w:rPr>
        <w:t xml:space="preserve"> (20</w:t>
      </w:r>
      <w:r w:rsidR="00E409DF" w:rsidRPr="00EE3D94">
        <w:rPr>
          <w:rFonts w:ascii="Times New Roman" w:hAnsi="Times New Roman" w:cs="Times New Roman"/>
          <w:sz w:val="24"/>
          <w:szCs w:val="24"/>
        </w:rPr>
        <w:t>10)</w:t>
      </w:r>
      <w:r w:rsidR="00E10C84" w:rsidRPr="00EE3D94">
        <w:rPr>
          <w:rFonts w:ascii="Times New Roman" w:hAnsi="Times New Roman" w:cs="Times New Roman"/>
          <w:sz w:val="24"/>
          <w:szCs w:val="24"/>
        </w:rPr>
        <w:t xml:space="preserve"> y Ampuero (2005)-, que </w:t>
      </w:r>
      <w:r w:rsidR="00E10C84" w:rsidRPr="00F84B32">
        <w:rPr>
          <w:rFonts w:ascii="Times New Roman" w:hAnsi="Times New Roman" w:cs="Times New Roman"/>
          <w:sz w:val="24"/>
          <w:szCs w:val="24"/>
        </w:rPr>
        <w:t>la “modernización”</w:t>
      </w:r>
      <w:r w:rsidR="005A3938" w:rsidRPr="00F84B32">
        <w:rPr>
          <w:rFonts w:ascii="Times New Roman" w:hAnsi="Times New Roman" w:cs="Times New Roman"/>
          <w:sz w:val="24"/>
          <w:szCs w:val="24"/>
        </w:rPr>
        <w:t xml:space="preserve"> de los </w:t>
      </w:r>
      <w:r w:rsidR="0097789A">
        <w:rPr>
          <w:rFonts w:ascii="Times New Roman" w:hAnsi="Times New Roman" w:cs="Times New Roman"/>
          <w:sz w:val="24"/>
          <w:szCs w:val="24"/>
        </w:rPr>
        <w:t>C</w:t>
      </w:r>
      <w:r w:rsidR="005A3938" w:rsidRPr="00F84B32">
        <w:rPr>
          <w:rFonts w:ascii="Times New Roman" w:hAnsi="Times New Roman" w:cs="Times New Roman"/>
          <w:sz w:val="24"/>
          <w:szCs w:val="24"/>
        </w:rPr>
        <w:t>ongresos</w:t>
      </w:r>
      <w:r w:rsidR="00E10C84" w:rsidRPr="00F84B32">
        <w:rPr>
          <w:rFonts w:ascii="Times New Roman" w:hAnsi="Times New Roman" w:cs="Times New Roman"/>
          <w:sz w:val="24"/>
          <w:szCs w:val="24"/>
        </w:rPr>
        <w:t xml:space="preserve"> se ha limitado a la incorporación de nuevas técnicas y tecnologías</w:t>
      </w:r>
      <w:r w:rsidR="00E10C84" w:rsidRPr="00EE3D94">
        <w:rPr>
          <w:rFonts w:ascii="Times New Roman" w:hAnsi="Times New Roman" w:cs="Times New Roman"/>
          <w:sz w:val="24"/>
          <w:szCs w:val="24"/>
        </w:rPr>
        <w:t xml:space="preserve"> </w:t>
      </w:r>
      <w:r w:rsidR="005A3938" w:rsidRPr="00EE3D94">
        <w:rPr>
          <w:rFonts w:ascii="Times New Roman" w:hAnsi="Times New Roman" w:cs="Times New Roman"/>
          <w:sz w:val="24"/>
          <w:szCs w:val="24"/>
        </w:rPr>
        <w:t>que</w:t>
      </w:r>
      <w:r w:rsidR="003E5E41">
        <w:rPr>
          <w:rFonts w:ascii="Times New Roman" w:hAnsi="Times New Roman" w:cs="Times New Roman"/>
          <w:sz w:val="24"/>
          <w:szCs w:val="24"/>
        </w:rPr>
        <w:t>,</w:t>
      </w:r>
      <w:r w:rsidR="005A3938" w:rsidRPr="00EE3D94">
        <w:rPr>
          <w:rFonts w:ascii="Times New Roman" w:hAnsi="Times New Roman" w:cs="Times New Roman"/>
          <w:sz w:val="24"/>
          <w:szCs w:val="24"/>
        </w:rPr>
        <w:t xml:space="preserve"> de alguna manera</w:t>
      </w:r>
      <w:r w:rsidR="003E5E41">
        <w:rPr>
          <w:rFonts w:ascii="Times New Roman" w:hAnsi="Times New Roman" w:cs="Times New Roman"/>
          <w:sz w:val="24"/>
          <w:szCs w:val="24"/>
        </w:rPr>
        <w:t>,</w:t>
      </w:r>
      <w:r w:rsidR="00E10C84" w:rsidRPr="00EE3D94">
        <w:rPr>
          <w:rFonts w:ascii="Times New Roman" w:hAnsi="Times New Roman" w:cs="Times New Roman"/>
          <w:sz w:val="24"/>
          <w:szCs w:val="24"/>
        </w:rPr>
        <w:t xml:space="preserve"> </w:t>
      </w:r>
      <w:r w:rsidR="00D72B16" w:rsidRPr="00EE3D94">
        <w:rPr>
          <w:rFonts w:ascii="Times New Roman" w:hAnsi="Times New Roman" w:cs="Times New Roman"/>
          <w:sz w:val="24"/>
          <w:szCs w:val="24"/>
        </w:rPr>
        <w:t xml:space="preserve">han </w:t>
      </w:r>
      <w:r w:rsidR="00E10C84" w:rsidRPr="00EE3D94">
        <w:rPr>
          <w:rFonts w:ascii="Times New Roman" w:hAnsi="Times New Roman" w:cs="Times New Roman"/>
          <w:sz w:val="24"/>
          <w:szCs w:val="24"/>
        </w:rPr>
        <w:t>facilita</w:t>
      </w:r>
      <w:r w:rsidR="00D72B16" w:rsidRPr="00EE3D94">
        <w:rPr>
          <w:rFonts w:ascii="Times New Roman" w:hAnsi="Times New Roman" w:cs="Times New Roman"/>
          <w:sz w:val="24"/>
          <w:szCs w:val="24"/>
        </w:rPr>
        <w:t>do</w:t>
      </w:r>
      <w:r w:rsidR="00E10C84" w:rsidRPr="00EE3D94">
        <w:rPr>
          <w:rFonts w:ascii="Times New Roman" w:hAnsi="Times New Roman" w:cs="Times New Roman"/>
          <w:sz w:val="24"/>
          <w:szCs w:val="24"/>
        </w:rPr>
        <w:t xml:space="preserve"> las actividades legislativas</w:t>
      </w:r>
      <w:r w:rsidR="00406EAB" w:rsidRPr="00EE3D94">
        <w:rPr>
          <w:rFonts w:ascii="Times New Roman" w:hAnsi="Times New Roman" w:cs="Times New Roman"/>
          <w:sz w:val="24"/>
          <w:szCs w:val="24"/>
        </w:rPr>
        <w:t xml:space="preserve">. </w:t>
      </w:r>
    </w:p>
    <w:p w14:paraId="6BA76916" w14:textId="24AB0FD7" w:rsidR="003714DC" w:rsidRPr="00EE3D94" w:rsidRDefault="003E5E41" w:rsidP="006735A7">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E409DF" w:rsidRPr="00EE3D94">
        <w:rPr>
          <w:rFonts w:ascii="Times New Roman" w:hAnsi="Times New Roman" w:cs="Times New Roman"/>
          <w:sz w:val="24"/>
          <w:szCs w:val="24"/>
        </w:rPr>
        <w:t>os cambios</w:t>
      </w:r>
      <w:r w:rsidR="007656C2" w:rsidRPr="00EE3D94">
        <w:rPr>
          <w:rFonts w:ascii="Times New Roman" w:hAnsi="Times New Roman" w:cs="Times New Roman"/>
          <w:sz w:val="24"/>
          <w:szCs w:val="24"/>
        </w:rPr>
        <w:t xml:space="preserve"> si bien es cierto, han </w:t>
      </w:r>
      <w:r w:rsidR="00E409DF" w:rsidRPr="00EE3D94">
        <w:rPr>
          <w:rFonts w:ascii="Times New Roman" w:hAnsi="Times New Roman" w:cs="Times New Roman"/>
          <w:sz w:val="24"/>
          <w:szCs w:val="24"/>
        </w:rPr>
        <w:t>favoreci</w:t>
      </w:r>
      <w:r w:rsidR="007656C2" w:rsidRPr="00EE3D94">
        <w:rPr>
          <w:rFonts w:ascii="Times New Roman" w:hAnsi="Times New Roman" w:cs="Times New Roman"/>
          <w:sz w:val="24"/>
          <w:szCs w:val="24"/>
        </w:rPr>
        <w:t>d</w:t>
      </w:r>
      <w:r w:rsidR="00E409DF" w:rsidRPr="00EE3D94">
        <w:rPr>
          <w:rFonts w:ascii="Times New Roman" w:hAnsi="Times New Roman" w:cs="Times New Roman"/>
          <w:sz w:val="24"/>
          <w:szCs w:val="24"/>
        </w:rPr>
        <w:t>o la gestión</w:t>
      </w:r>
      <w:r w:rsidR="006C5DC5" w:rsidRPr="00EE3D94">
        <w:rPr>
          <w:rFonts w:ascii="Times New Roman" w:hAnsi="Times New Roman" w:cs="Times New Roman"/>
          <w:sz w:val="24"/>
          <w:szCs w:val="24"/>
        </w:rPr>
        <w:t xml:space="preserve"> legislativa</w:t>
      </w:r>
      <w:r w:rsidR="007656C2" w:rsidRPr="00EE3D94">
        <w:rPr>
          <w:rFonts w:ascii="Times New Roman" w:hAnsi="Times New Roman" w:cs="Times New Roman"/>
          <w:sz w:val="24"/>
          <w:szCs w:val="24"/>
        </w:rPr>
        <w:t xml:space="preserve">, el acceso a la información, </w:t>
      </w:r>
      <w:r w:rsidR="00E409DF" w:rsidRPr="00EE3D94">
        <w:rPr>
          <w:rFonts w:ascii="Times New Roman" w:hAnsi="Times New Roman" w:cs="Times New Roman"/>
          <w:sz w:val="24"/>
          <w:szCs w:val="24"/>
        </w:rPr>
        <w:t xml:space="preserve">la transparencia, </w:t>
      </w:r>
      <w:r w:rsidR="007656C2" w:rsidRPr="00EE3D94">
        <w:rPr>
          <w:rFonts w:ascii="Times New Roman" w:hAnsi="Times New Roman" w:cs="Times New Roman"/>
          <w:sz w:val="24"/>
          <w:szCs w:val="24"/>
        </w:rPr>
        <w:t>y</w:t>
      </w:r>
      <w:r>
        <w:rPr>
          <w:rFonts w:ascii="Times New Roman" w:hAnsi="Times New Roman" w:cs="Times New Roman"/>
          <w:sz w:val="24"/>
          <w:szCs w:val="24"/>
        </w:rPr>
        <w:t>,</w:t>
      </w:r>
      <w:r w:rsidR="007656C2" w:rsidRPr="00EE3D94">
        <w:rPr>
          <w:rFonts w:ascii="Times New Roman" w:hAnsi="Times New Roman" w:cs="Times New Roman"/>
          <w:sz w:val="24"/>
          <w:szCs w:val="24"/>
        </w:rPr>
        <w:t xml:space="preserve"> de </w:t>
      </w:r>
      <w:r>
        <w:rPr>
          <w:rFonts w:ascii="Times New Roman" w:hAnsi="Times New Roman" w:cs="Times New Roman"/>
          <w:sz w:val="24"/>
          <w:szCs w:val="24"/>
        </w:rPr>
        <w:t>cierto modo,</w:t>
      </w:r>
      <w:r w:rsidR="007656C2" w:rsidRPr="00EE3D94">
        <w:rPr>
          <w:rFonts w:ascii="Times New Roman" w:hAnsi="Times New Roman" w:cs="Times New Roman"/>
          <w:sz w:val="24"/>
          <w:szCs w:val="24"/>
        </w:rPr>
        <w:t xml:space="preserve"> la participación ciudadana</w:t>
      </w:r>
      <w:r w:rsidR="00AB0397" w:rsidRPr="00EE3D94">
        <w:rPr>
          <w:rFonts w:ascii="Times New Roman" w:hAnsi="Times New Roman" w:cs="Times New Roman"/>
          <w:sz w:val="24"/>
          <w:szCs w:val="24"/>
        </w:rPr>
        <w:t xml:space="preserve"> en las decisiones legislativas. S</w:t>
      </w:r>
      <w:r w:rsidR="007656C2" w:rsidRPr="00EE3D94">
        <w:rPr>
          <w:rFonts w:ascii="Times New Roman" w:hAnsi="Times New Roman" w:cs="Times New Roman"/>
          <w:sz w:val="24"/>
          <w:szCs w:val="24"/>
        </w:rPr>
        <w:t>in embargo, la</w:t>
      </w:r>
      <w:r w:rsidR="00533E20" w:rsidRPr="00EE3D94">
        <w:rPr>
          <w:rFonts w:ascii="Times New Roman" w:hAnsi="Times New Roman" w:cs="Times New Roman"/>
          <w:sz w:val="24"/>
          <w:szCs w:val="24"/>
        </w:rPr>
        <w:t>s</w:t>
      </w:r>
      <w:r w:rsidR="007656C2" w:rsidRPr="00EE3D94">
        <w:rPr>
          <w:rFonts w:ascii="Times New Roman" w:hAnsi="Times New Roman" w:cs="Times New Roman"/>
          <w:sz w:val="24"/>
          <w:szCs w:val="24"/>
        </w:rPr>
        <w:t xml:space="preserve"> expectativa</w:t>
      </w:r>
      <w:r w:rsidR="00533E20" w:rsidRPr="00EE3D94">
        <w:rPr>
          <w:rFonts w:ascii="Times New Roman" w:hAnsi="Times New Roman" w:cs="Times New Roman"/>
          <w:sz w:val="24"/>
          <w:szCs w:val="24"/>
        </w:rPr>
        <w:t>s</w:t>
      </w:r>
      <w:r w:rsidR="007656C2" w:rsidRPr="00EE3D94">
        <w:rPr>
          <w:rFonts w:ascii="Times New Roman" w:hAnsi="Times New Roman" w:cs="Times New Roman"/>
          <w:sz w:val="24"/>
          <w:szCs w:val="24"/>
        </w:rPr>
        <w:t xml:space="preserve"> tecnológica</w:t>
      </w:r>
      <w:r w:rsidR="00533E20" w:rsidRPr="00EE3D94">
        <w:rPr>
          <w:rFonts w:ascii="Times New Roman" w:hAnsi="Times New Roman" w:cs="Times New Roman"/>
          <w:sz w:val="24"/>
          <w:szCs w:val="24"/>
        </w:rPr>
        <w:t>s</w:t>
      </w:r>
      <w:r w:rsidR="007656C2" w:rsidRPr="00EE3D94">
        <w:rPr>
          <w:rFonts w:ascii="Times New Roman" w:hAnsi="Times New Roman" w:cs="Times New Roman"/>
          <w:sz w:val="24"/>
          <w:szCs w:val="24"/>
        </w:rPr>
        <w:t xml:space="preserve"> </w:t>
      </w:r>
      <w:r w:rsidR="00641F69" w:rsidRPr="00EE3D94">
        <w:rPr>
          <w:rFonts w:ascii="Times New Roman" w:hAnsi="Times New Roman" w:cs="Times New Roman"/>
          <w:sz w:val="24"/>
          <w:szCs w:val="24"/>
        </w:rPr>
        <w:t xml:space="preserve">no garantizan del todo </w:t>
      </w:r>
      <w:r w:rsidR="00E409DF" w:rsidRPr="00EE3D94">
        <w:rPr>
          <w:rFonts w:ascii="Times New Roman" w:hAnsi="Times New Roman" w:cs="Times New Roman"/>
          <w:sz w:val="24"/>
          <w:szCs w:val="24"/>
        </w:rPr>
        <w:t xml:space="preserve">cambios </w:t>
      </w:r>
      <w:r w:rsidR="007656C2" w:rsidRPr="00EE3D94">
        <w:rPr>
          <w:rFonts w:ascii="Times New Roman" w:hAnsi="Times New Roman" w:cs="Times New Roman"/>
          <w:sz w:val="24"/>
          <w:szCs w:val="24"/>
        </w:rPr>
        <w:t xml:space="preserve">profundos </w:t>
      </w:r>
      <w:r w:rsidR="00E409DF" w:rsidRPr="00EE3D94">
        <w:rPr>
          <w:rFonts w:ascii="Times New Roman" w:hAnsi="Times New Roman" w:cs="Times New Roman"/>
          <w:sz w:val="24"/>
          <w:szCs w:val="24"/>
        </w:rPr>
        <w:t>en las prácticas políticas, en la representación y aún menos en la rendición de cuentas</w:t>
      </w:r>
      <w:r>
        <w:rPr>
          <w:rFonts w:ascii="Times New Roman" w:hAnsi="Times New Roman" w:cs="Times New Roman"/>
          <w:sz w:val="24"/>
          <w:szCs w:val="24"/>
        </w:rPr>
        <w:t>.</w:t>
      </w:r>
      <w:r w:rsidRPr="00EE3D94">
        <w:rPr>
          <w:rFonts w:ascii="Times New Roman" w:hAnsi="Times New Roman" w:cs="Times New Roman"/>
          <w:sz w:val="24"/>
          <w:szCs w:val="24"/>
        </w:rPr>
        <w:t xml:space="preserve">  </w:t>
      </w:r>
      <w:r w:rsidR="009C2131" w:rsidRPr="00EE3D94">
        <w:rPr>
          <w:rFonts w:ascii="Times New Roman" w:hAnsi="Times New Roman" w:cs="Times New Roman"/>
          <w:sz w:val="24"/>
          <w:szCs w:val="24"/>
        </w:rPr>
        <w:t>¿</w:t>
      </w:r>
      <w:r>
        <w:rPr>
          <w:rFonts w:ascii="Times New Roman" w:hAnsi="Times New Roman" w:cs="Times New Roman"/>
          <w:sz w:val="24"/>
          <w:szCs w:val="24"/>
        </w:rPr>
        <w:t>C</w:t>
      </w:r>
      <w:r w:rsidRPr="00EE3D94">
        <w:rPr>
          <w:rFonts w:ascii="Times New Roman" w:hAnsi="Times New Roman" w:cs="Times New Roman"/>
          <w:sz w:val="24"/>
          <w:szCs w:val="24"/>
        </w:rPr>
        <w:t xml:space="preserve">uáles </w:t>
      </w:r>
      <w:r w:rsidR="009C2131" w:rsidRPr="00EE3D94">
        <w:rPr>
          <w:rFonts w:ascii="Times New Roman" w:hAnsi="Times New Roman" w:cs="Times New Roman"/>
          <w:sz w:val="24"/>
          <w:szCs w:val="24"/>
        </w:rPr>
        <w:t xml:space="preserve">son las causas de dichos límites? </w:t>
      </w:r>
      <w:r w:rsidR="00F6444E" w:rsidRPr="00EE3D94">
        <w:rPr>
          <w:rFonts w:ascii="Times New Roman" w:hAnsi="Times New Roman" w:cs="Times New Roman"/>
          <w:sz w:val="24"/>
          <w:szCs w:val="24"/>
        </w:rPr>
        <w:t>¿</w:t>
      </w:r>
      <w:r>
        <w:rPr>
          <w:rFonts w:ascii="Times New Roman" w:hAnsi="Times New Roman" w:cs="Times New Roman"/>
          <w:sz w:val="24"/>
          <w:szCs w:val="24"/>
        </w:rPr>
        <w:t>E</w:t>
      </w:r>
      <w:r w:rsidRPr="00EE3D94">
        <w:rPr>
          <w:rFonts w:ascii="Times New Roman" w:hAnsi="Times New Roman" w:cs="Times New Roman"/>
          <w:sz w:val="24"/>
          <w:szCs w:val="24"/>
        </w:rPr>
        <w:t xml:space="preserve">s </w:t>
      </w:r>
      <w:r w:rsidR="00F6444E" w:rsidRPr="00EE3D94">
        <w:rPr>
          <w:rFonts w:ascii="Times New Roman" w:hAnsi="Times New Roman" w:cs="Times New Roman"/>
          <w:sz w:val="24"/>
          <w:szCs w:val="24"/>
        </w:rPr>
        <w:t xml:space="preserve">posible que los nuevos </w:t>
      </w:r>
      <w:r w:rsidR="00F6444E" w:rsidRPr="00EE3D94">
        <w:rPr>
          <w:rFonts w:ascii="Times New Roman" w:hAnsi="Times New Roman" w:cs="Times New Roman"/>
          <w:sz w:val="24"/>
          <w:szCs w:val="24"/>
        </w:rPr>
        <w:lastRenderedPageBreak/>
        <w:t>recurso</w:t>
      </w:r>
      <w:r>
        <w:rPr>
          <w:rFonts w:ascii="Times New Roman" w:hAnsi="Times New Roman" w:cs="Times New Roman"/>
          <w:sz w:val="24"/>
          <w:szCs w:val="24"/>
        </w:rPr>
        <w:t>s</w:t>
      </w:r>
      <w:r w:rsidR="00F6444E" w:rsidRPr="00EE3D94">
        <w:rPr>
          <w:rFonts w:ascii="Times New Roman" w:hAnsi="Times New Roman" w:cs="Times New Roman"/>
          <w:sz w:val="24"/>
          <w:szCs w:val="24"/>
        </w:rPr>
        <w:t xml:space="preserve"> tecnológicos, lejos de acercar a los legisladores a sus representados, evidencia</w:t>
      </w:r>
      <w:r>
        <w:rPr>
          <w:rFonts w:ascii="Times New Roman" w:hAnsi="Times New Roman" w:cs="Times New Roman"/>
          <w:sz w:val="24"/>
          <w:szCs w:val="24"/>
        </w:rPr>
        <w:t>n</w:t>
      </w:r>
      <w:r w:rsidR="00F6444E" w:rsidRPr="00EE3D94">
        <w:rPr>
          <w:rFonts w:ascii="Times New Roman" w:hAnsi="Times New Roman" w:cs="Times New Roman"/>
          <w:sz w:val="24"/>
          <w:szCs w:val="24"/>
        </w:rPr>
        <w:t xml:space="preserve"> las fallas de la representación y coloca</w:t>
      </w:r>
      <w:r>
        <w:rPr>
          <w:rFonts w:ascii="Times New Roman" w:hAnsi="Times New Roman" w:cs="Times New Roman"/>
          <w:sz w:val="24"/>
          <w:szCs w:val="24"/>
        </w:rPr>
        <w:t>n</w:t>
      </w:r>
      <w:r w:rsidR="007656C2" w:rsidRPr="00EE3D94">
        <w:rPr>
          <w:rFonts w:ascii="Times New Roman" w:hAnsi="Times New Roman" w:cs="Times New Roman"/>
          <w:sz w:val="24"/>
          <w:szCs w:val="24"/>
        </w:rPr>
        <w:t xml:space="preserve"> a los </w:t>
      </w:r>
      <w:r w:rsidR="0097789A">
        <w:rPr>
          <w:rFonts w:ascii="Times New Roman" w:hAnsi="Times New Roman" w:cs="Times New Roman"/>
          <w:sz w:val="24"/>
          <w:szCs w:val="24"/>
        </w:rPr>
        <w:t>C</w:t>
      </w:r>
      <w:r w:rsidR="0097789A" w:rsidRPr="00EE3D94">
        <w:rPr>
          <w:rFonts w:ascii="Times New Roman" w:hAnsi="Times New Roman" w:cs="Times New Roman"/>
          <w:sz w:val="24"/>
          <w:szCs w:val="24"/>
        </w:rPr>
        <w:t xml:space="preserve">ongresos </w:t>
      </w:r>
      <w:r w:rsidR="007656C2" w:rsidRPr="00EE3D94">
        <w:rPr>
          <w:rFonts w:ascii="Times New Roman" w:hAnsi="Times New Roman" w:cs="Times New Roman"/>
          <w:sz w:val="24"/>
          <w:szCs w:val="24"/>
        </w:rPr>
        <w:t xml:space="preserve">en una complicada crisis </w:t>
      </w:r>
      <w:r w:rsidR="002B757D" w:rsidRPr="00EE3D94">
        <w:rPr>
          <w:rFonts w:ascii="Times New Roman" w:hAnsi="Times New Roman" w:cs="Times New Roman"/>
          <w:sz w:val="24"/>
          <w:szCs w:val="24"/>
        </w:rPr>
        <w:t>de credibilidad y confianza</w:t>
      </w:r>
      <w:r w:rsidR="007656C2" w:rsidRPr="00EE3D94">
        <w:rPr>
          <w:rFonts w:ascii="Times New Roman" w:hAnsi="Times New Roman" w:cs="Times New Roman"/>
          <w:sz w:val="24"/>
          <w:szCs w:val="24"/>
        </w:rPr>
        <w:t xml:space="preserve">, </w:t>
      </w:r>
      <w:r>
        <w:rPr>
          <w:rFonts w:ascii="Times New Roman" w:hAnsi="Times New Roman" w:cs="Times New Roman"/>
          <w:sz w:val="24"/>
          <w:szCs w:val="24"/>
        </w:rPr>
        <w:t>en la que,</w:t>
      </w:r>
      <w:r w:rsidRPr="00EE3D94">
        <w:rPr>
          <w:rFonts w:ascii="Times New Roman" w:hAnsi="Times New Roman" w:cs="Times New Roman"/>
          <w:sz w:val="24"/>
          <w:szCs w:val="24"/>
        </w:rPr>
        <w:t xml:space="preserve"> </w:t>
      </w:r>
      <w:r w:rsidR="007656C2" w:rsidRPr="00EE3D94">
        <w:rPr>
          <w:rFonts w:ascii="Times New Roman" w:hAnsi="Times New Roman" w:cs="Times New Roman"/>
          <w:sz w:val="24"/>
          <w:szCs w:val="24"/>
        </w:rPr>
        <w:t>particularmente</w:t>
      </w:r>
      <w:r>
        <w:rPr>
          <w:rFonts w:ascii="Times New Roman" w:hAnsi="Times New Roman" w:cs="Times New Roman"/>
          <w:sz w:val="24"/>
          <w:szCs w:val="24"/>
        </w:rPr>
        <w:t>,</w:t>
      </w:r>
      <w:r w:rsidR="007656C2" w:rsidRPr="00EE3D94">
        <w:rPr>
          <w:rFonts w:ascii="Times New Roman" w:hAnsi="Times New Roman" w:cs="Times New Roman"/>
          <w:sz w:val="24"/>
          <w:szCs w:val="24"/>
        </w:rPr>
        <w:t xml:space="preserve"> las asambleas latinoamericanas se ha</w:t>
      </w:r>
      <w:r w:rsidR="00533E20" w:rsidRPr="00EE3D94">
        <w:rPr>
          <w:rFonts w:ascii="Times New Roman" w:hAnsi="Times New Roman" w:cs="Times New Roman"/>
          <w:sz w:val="24"/>
          <w:szCs w:val="24"/>
        </w:rPr>
        <w:t>n</w:t>
      </w:r>
      <w:r w:rsidR="007656C2" w:rsidRPr="00EE3D94">
        <w:rPr>
          <w:rFonts w:ascii="Times New Roman" w:hAnsi="Times New Roman" w:cs="Times New Roman"/>
          <w:sz w:val="24"/>
          <w:szCs w:val="24"/>
        </w:rPr>
        <w:t xml:space="preserve"> distinguido por su descrédito y </w:t>
      </w:r>
      <w:r w:rsidR="00E830B9" w:rsidRPr="00EE3D94">
        <w:rPr>
          <w:rFonts w:ascii="Times New Roman" w:hAnsi="Times New Roman" w:cs="Times New Roman"/>
          <w:sz w:val="24"/>
          <w:szCs w:val="24"/>
        </w:rPr>
        <w:t>falta de legitimidad</w:t>
      </w:r>
      <w:r w:rsidR="00F6444E" w:rsidRPr="00EE3D94">
        <w:rPr>
          <w:rFonts w:ascii="Times New Roman" w:hAnsi="Times New Roman" w:cs="Times New Roman"/>
          <w:sz w:val="24"/>
          <w:szCs w:val="24"/>
        </w:rPr>
        <w:t>?</w:t>
      </w:r>
      <w:r w:rsidR="00D72B16" w:rsidRPr="00EE3D94">
        <w:rPr>
          <w:rFonts w:ascii="Times New Roman" w:hAnsi="Times New Roman" w:cs="Times New Roman"/>
          <w:sz w:val="24"/>
          <w:szCs w:val="24"/>
        </w:rPr>
        <w:t xml:space="preserve"> </w:t>
      </w:r>
      <w:r w:rsidR="00533E20" w:rsidRPr="00EE3D94">
        <w:rPr>
          <w:rFonts w:ascii="Times New Roman" w:hAnsi="Times New Roman" w:cs="Times New Roman"/>
          <w:sz w:val="24"/>
          <w:szCs w:val="24"/>
        </w:rPr>
        <w:t xml:space="preserve"> </w:t>
      </w:r>
    </w:p>
    <w:p w14:paraId="10775553" w14:textId="520E1F8A" w:rsidR="00650EC0" w:rsidRPr="00EE3D94" w:rsidRDefault="003E5E41" w:rsidP="00E75702">
      <w:pPr>
        <w:tabs>
          <w:tab w:val="left" w:pos="-720"/>
        </w:tabs>
        <w:spacing w:line="360" w:lineRule="auto"/>
        <w:jc w:val="both"/>
        <w:rPr>
          <w:lang w:val="es-ES_tradnl"/>
        </w:rPr>
      </w:pPr>
      <w:r>
        <w:rPr>
          <w:lang w:val="es-ES_tradnl"/>
        </w:rPr>
        <w:tab/>
      </w:r>
      <w:r w:rsidR="00AE3727" w:rsidRPr="00EE3D94">
        <w:rPr>
          <w:lang w:val="es-ES_tradnl"/>
        </w:rPr>
        <w:t xml:space="preserve">El resultado de este rechazo </w:t>
      </w:r>
      <w:r w:rsidR="007656C2" w:rsidRPr="00EE3D94">
        <w:rPr>
          <w:lang w:val="es-ES_tradnl"/>
        </w:rPr>
        <w:t xml:space="preserve">es perturbador si </w:t>
      </w:r>
      <w:r w:rsidR="00AE3727" w:rsidRPr="00EE3D94">
        <w:rPr>
          <w:lang w:val="es-ES_tradnl"/>
        </w:rPr>
        <w:t>se observa</w:t>
      </w:r>
      <w:r w:rsidR="007656C2" w:rsidRPr="00EE3D94">
        <w:rPr>
          <w:lang w:val="es-ES_tradnl"/>
        </w:rPr>
        <w:t xml:space="preserve"> a la luz de </w:t>
      </w:r>
      <w:r w:rsidR="00AE3727" w:rsidRPr="00EE3D94">
        <w:rPr>
          <w:lang w:val="es-ES_tradnl"/>
        </w:rPr>
        <w:t>l</w:t>
      </w:r>
      <w:r w:rsidR="00973FA7" w:rsidRPr="00EE3D94">
        <w:rPr>
          <w:lang w:val="es-ES_tradnl"/>
        </w:rPr>
        <w:t xml:space="preserve">os datos </w:t>
      </w:r>
      <w:r w:rsidR="00BD28EF" w:rsidRPr="00EE3D94">
        <w:rPr>
          <w:lang w:val="es-ES_tradnl"/>
        </w:rPr>
        <w:t>registrados por</w:t>
      </w:r>
      <w:r w:rsidR="00973FA7" w:rsidRPr="00EE3D94">
        <w:rPr>
          <w:lang w:val="es-ES_tradnl"/>
        </w:rPr>
        <w:t xml:space="preserve"> el latino</w:t>
      </w:r>
      <w:r w:rsidR="003714DC" w:rsidRPr="00EE3D94">
        <w:rPr>
          <w:lang w:val="es-ES_tradnl"/>
        </w:rPr>
        <w:t>barómetro</w:t>
      </w:r>
      <w:r w:rsidR="00BD28EF" w:rsidRPr="00EE3D94">
        <w:rPr>
          <w:lang w:val="es-ES_tradnl"/>
        </w:rPr>
        <w:t xml:space="preserve"> en su informe </w:t>
      </w:r>
      <w:r>
        <w:rPr>
          <w:lang w:val="es-ES_tradnl"/>
        </w:rPr>
        <w:t xml:space="preserve">de </w:t>
      </w:r>
      <w:r w:rsidR="00BD28EF" w:rsidRPr="00EE3D94">
        <w:rPr>
          <w:lang w:val="es-ES_tradnl"/>
        </w:rPr>
        <w:t xml:space="preserve">2015 </w:t>
      </w:r>
      <w:r w:rsidR="003714DC" w:rsidRPr="00EE3D94">
        <w:rPr>
          <w:lang w:val="es-ES_tradnl"/>
        </w:rPr>
        <w:t>sobre percepción democrática</w:t>
      </w:r>
      <w:r w:rsidR="00BD28EF" w:rsidRPr="00EE3D94">
        <w:rPr>
          <w:lang w:val="es-ES_tradnl"/>
        </w:rPr>
        <w:t>. L</w:t>
      </w:r>
      <w:r w:rsidR="003714DC" w:rsidRPr="00EE3D94">
        <w:rPr>
          <w:lang w:val="es-ES_tradnl"/>
        </w:rPr>
        <w:t xml:space="preserve">a región se destaca por la mala evaluación de las instituciones democráticas, particularmente los partidos y los </w:t>
      </w:r>
      <w:r w:rsidR="000A265C">
        <w:rPr>
          <w:lang w:val="es-ES_tradnl"/>
        </w:rPr>
        <w:t>C</w:t>
      </w:r>
      <w:r w:rsidR="000A265C" w:rsidRPr="00EE3D94">
        <w:rPr>
          <w:lang w:val="es-ES_tradnl"/>
        </w:rPr>
        <w:t>ongresos</w:t>
      </w:r>
      <w:r w:rsidR="003714DC" w:rsidRPr="00EE3D94">
        <w:rPr>
          <w:lang w:val="es-ES_tradnl"/>
        </w:rPr>
        <w:t xml:space="preserve">. Respecto a estos últimos, los datos proporcionados por el índice </w:t>
      </w:r>
      <w:r w:rsidR="00BE5B3F" w:rsidRPr="00EE3D94">
        <w:rPr>
          <w:lang w:val="es-ES_tradnl"/>
        </w:rPr>
        <w:t xml:space="preserve">presentado </w:t>
      </w:r>
      <w:r w:rsidR="00BD28EF" w:rsidRPr="00EE3D94">
        <w:rPr>
          <w:lang w:val="es-ES_tradnl"/>
        </w:rPr>
        <w:t>a lo largo de veinte años</w:t>
      </w:r>
      <w:r w:rsidR="007656C2" w:rsidRPr="00EE3D94">
        <w:rPr>
          <w:lang w:val="es-ES_tradnl"/>
        </w:rPr>
        <w:t xml:space="preserve"> (1995-2015)</w:t>
      </w:r>
      <w:r w:rsidR="00BD28EF" w:rsidRPr="00EE3D94">
        <w:rPr>
          <w:lang w:val="es-ES_tradnl"/>
        </w:rPr>
        <w:t xml:space="preserve"> destacan </w:t>
      </w:r>
      <w:r w:rsidR="003714DC" w:rsidRPr="00EE3D94">
        <w:rPr>
          <w:lang w:val="es-ES_tradnl"/>
        </w:rPr>
        <w:t xml:space="preserve">que </w:t>
      </w:r>
      <w:r w:rsidR="003714DC" w:rsidRPr="00F84B32">
        <w:rPr>
          <w:lang w:val="es-ES_tradnl"/>
        </w:rPr>
        <w:t xml:space="preserve">los países que mejor evalúan a sus legislaturas son Uruguay y Ecuador, donde </w:t>
      </w:r>
      <w:r w:rsidR="00BD28EF" w:rsidRPr="00F84B32">
        <w:rPr>
          <w:lang w:val="es-ES_tradnl"/>
        </w:rPr>
        <w:t>menos de</w:t>
      </w:r>
      <w:r w:rsidR="003714DC" w:rsidRPr="00F84B32">
        <w:rPr>
          <w:lang w:val="es-ES_tradnl"/>
        </w:rPr>
        <w:t xml:space="preserve"> la mitad de los entrevistados opinó tener mucha y algo de confianza en sus congresos</w:t>
      </w:r>
      <w:r w:rsidR="00973FA7" w:rsidRPr="00F84B32">
        <w:rPr>
          <w:lang w:val="es-ES_tradnl"/>
        </w:rPr>
        <w:t xml:space="preserve"> (46</w:t>
      </w:r>
      <w:r>
        <w:rPr>
          <w:lang w:val="es-ES_tradnl"/>
        </w:rPr>
        <w:t xml:space="preserve"> </w:t>
      </w:r>
      <w:r w:rsidR="00973FA7" w:rsidRPr="00F84B32">
        <w:rPr>
          <w:lang w:val="es-ES_tradnl"/>
        </w:rPr>
        <w:t>%)</w:t>
      </w:r>
      <w:r w:rsidR="003714DC" w:rsidRPr="00F84B32">
        <w:rPr>
          <w:lang w:val="es-ES_tradnl"/>
        </w:rPr>
        <w:t>.</w:t>
      </w:r>
      <w:r w:rsidR="003714DC" w:rsidRPr="00EE3D94">
        <w:rPr>
          <w:lang w:val="es-ES_tradnl"/>
        </w:rPr>
        <w:t xml:space="preserve"> De</w:t>
      </w:r>
      <w:r w:rsidR="00973FA7" w:rsidRPr="00EE3D94">
        <w:rPr>
          <w:lang w:val="es-ES_tradnl"/>
        </w:rPr>
        <w:t xml:space="preserve">l lado contrario, los peor </w:t>
      </w:r>
      <w:r w:rsidR="00580B95" w:rsidRPr="00EE3D94">
        <w:rPr>
          <w:lang w:val="es-ES_tradnl"/>
        </w:rPr>
        <w:t>calificados fuero</w:t>
      </w:r>
      <w:r w:rsidR="00973FA7" w:rsidRPr="00EE3D94">
        <w:rPr>
          <w:lang w:val="es-ES_tradnl"/>
        </w:rPr>
        <w:t>n los congresos de Perú, Colombia, Chile y Guatemala</w:t>
      </w:r>
      <w:r>
        <w:rPr>
          <w:lang w:val="es-ES_tradnl"/>
        </w:rPr>
        <w:t>,</w:t>
      </w:r>
      <w:r w:rsidR="00973FA7" w:rsidRPr="00EE3D94">
        <w:rPr>
          <w:lang w:val="es-ES_tradnl"/>
        </w:rPr>
        <w:t xml:space="preserve"> con </w:t>
      </w:r>
      <w:r w:rsidR="003E5C7C" w:rsidRPr="00EE3D94">
        <w:rPr>
          <w:lang w:val="es-ES_tradnl"/>
        </w:rPr>
        <w:t xml:space="preserve">cifras </w:t>
      </w:r>
      <w:r w:rsidR="00973FA7" w:rsidRPr="00EE3D94">
        <w:rPr>
          <w:lang w:val="es-ES_tradnl"/>
        </w:rPr>
        <w:t xml:space="preserve">que oscilan entre </w:t>
      </w:r>
      <w:r>
        <w:rPr>
          <w:lang w:val="es-ES_tradnl"/>
        </w:rPr>
        <w:t>76</w:t>
      </w:r>
      <w:r w:rsidR="00973FA7" w:rsidRPr="00EE3D94">
        <w:rPr>
          <w:lang w:val="es-ES_tradnl"/>
        </w:rPr>
        <w:t xml:space="preserve"> y </w:t>
      </w:r>
      <w:r>
        <w:rPr>
          <w:lang w:val="es-ES_tradnl"/>
        </w:rPr>
        <w:t>85</w:t>
      </w:r>
      <w:r w:rsidR="00973FA7" w:rsidRPr="00EE3D94">
        <w:rPr>
          <w:lang w:val="es-ES_tradnl"/>
        </w:rPr>
        <w:t xml:space="preserve"> </w:t>
      </w:r>
      <w:r>
        <w:rPr>
          <w:lang w:val="es-ES_tradnl"/>
        </w:rPr>
        <w:t>%</w:t>
      </w:r>
      <w:r w:rsidR="00973FA7" w:rsidRPr="00EE3D94">
        <w:rPr>
          <w:lang w:val="es-ES_tradnl"/>
        </w:rPr>
        <w:t xml:space="preserve"> que opina tener poca o ninguna confianza en sus legislaturas. </w:t>
      </w:r>
      <w:r>
        <w:rPr>
          <w:lang w:val="es-ES_tradnl"/>
        </w:rPr>
        <w:t>En l</w:t>
      </w:r>
      <w:r w:rsidRPr="00EE3D94">
        <w:rPr>
          <w:lang w:val="es-ES_tradnl"/>
        </w:rPr>
        <w:t xml:space="preserve">os </w:t>
      </w:r>
      <w:r w:rsidR="00973FA7" w:rsidRPr="00EE3D94">
        <w:rPr>
          <w:lang w:val="es-ES_tradnl"/>
        </w:rPr>
        <w:t>intermedios</w:t>
      </w:r>
      <w:r>
        <w:rPr>
          <w:lang w:val="es-ES_tradnl"/>
        </w:rPr>
        <w:t>,</w:t>
      </w:r>
      <w:r w:rsidR="00973FA7" w:rsidRPr="00EE3D94">
        <w:rPr>
          <w:lang w:val="es-ES_tradnl"/>
        </w:rPr>
        <w:t xml:space="preserve"> como México, Venezuela y Bolivia, poco más de 60</w:t>
      </w:r>
      <w:r>
        <w:rPr>
          <w:lang w:val="es-ES_tradnl"/>
        </w:rPr>
        <w:t xml:space="preserve"> </w:t>
      </w:r>
      <w:r w:rsidR="00973FA7" w:rsidRPr="00EE3D94">
        <w:rPr>
          <w:lang w:val="es-ES_tradnl"/>
        </w:rPr>
        <w:t>% tiene una percepción negativa de su parlamento.</w:t>
      </w:r>
      <w:r w:rsidR="00BD28EF" w:rsidRPr="00EE3D94">
        <w:rPr>
          <w:rStyle w:val="Refdenotaalpie"/>
          <w:lang w:val="es-ES_tradnl"/>
        </w:rPr>
        <w:footnoteReference w:id="1"/>
      </w:r>
      <w:r w:rsidR="00973FA7" w:rsidRPr="00EE3D94">
        <w:rPr>
          <w:lang w:val="es-ES_tradnl"/>
        </w:rPr>
        <w:t xml:space="preserve"> </w:t>
      </w:r>
    </w:p>
    <w:p w14:paraId="222D57AE" w14:textId="77AF9142" w:rsidR="003714DC" w:rsidRPr="00EE3D94" w:rsidRDefault="003E5E41" w:rsidP="00E75702">
      <w:pPr>
        <w:tabs>
          <w:tab w:val="left" w:pos="-720"/>
        </w:tabs>
        <w:spacing w:line="360" w:lineRule="auto"/>
        <w:jc w:val="both"/>
        <w:rPr>
          <w:lang w:val="es-ES_tradnl"/>
        </w:rPr>
      </w:pPr>
      <w:r>
        <w:rPr>
          <w:lang w:val="es-ES_tradnl"/>
        </w:rPr>
        <w:tab/>
      </w:r>
      <w:r w:rsidR="00303221" w:rsidRPr="00EE3D94">
        <w:rPr>
          <w:lang w:val="es-ES_tradnl"/>
        </w:rPr>
        <w:t>A</w:t>
      </w:r>
      <w:r w:rsidR="00311C8C" w:rsidRPr="00EE3D94">
        <w:rPr>
          <w:lang w:val="es-ES_tradnl"/>
        </w:rPr>
        <w:t>lcántara, Montero y López</w:t>
      </w:r>
      <w:r w:rsidR="00DB0E77" w:rsidRPr="00EE3D94">
        <w:rPr>
          <w:lang w:val="es-ES_tradnl"/>
        </w:rPr>
        <w:t xml:space="preserve"> (2005)</w:t>
      </w:r>
      <w:r w:rsidR="00303221" w:rsidRPr="00EE3D94">
        <w:rPr>
          <w:lang w:val="es-ES_tradnl"/>
        </w:rPr>
        <w:t xml:space="preserve"> explica</w:t>
      </w:r>
      <w:r w:rsidR="00311C8C" w:rsidRPr="00EE3D94">
        <w:rPr>
          <w:lang w:val="es-ES_tradnl"/>
        </w:rPr>
        <w:t>n</w:t>
      </w:r>
      <w:r w:rsidR="00303221" w:rsidRPr="00EE3D94">
        <w:rPr>
          <w:lang w:val="es-ES_tradnl"/>
        </w:rPr>
        <w:t xml:space="preserve"> este hecho en términos de</w:t>
      </w:r>
      <w:r w:rsidR="00580B95" w:rsidRPr="00EE3D94">
        <w:rPr>
          <w:lang w:val="es-ES_tradnl"/>
        </w:rPr>
        <w:t xml:space="preserve"> los</w:t>
      </w:r>
      <w:r w:rsidR="00BE5B3F" w:rsidRPr="00EE3D94">
        <w:rPr>
          <w:lang w:val="es-ES_tradnl"/>
        </w:rPr>
        <w:t xml:space="preserve"> </w:t>
      </w:r>
      <w:r w:rsidR="00DB0E77" w:rsidRPr="00EE3D94">
        <w:rPr>
          <w:lang w:val="es-ES_tradnl"/>
        </w:rPr>
        <w:t xml:space="preserve">problemas de consolidación </w:t>
      </w:r>
      <w:r w:rsidR="00580B95" w:rsidRPr="00EE3D94">
        <w:rPr>
          <w:lang w:val="es-ES_tradnl"/>
        </w:rPr>
        <w:t>democrática</w:t>
      </w:r>
      <w:r w:rsidR="00D25280">
        <w:rPr>
          <w:lang w:val="es-ES_tradnl"/>
        </w:rPr>
        <w:t>:</w:t>
      </w:r>
      <w:r w:rsidR="00D25280" w:rsidRPr="00EE3D94">
        <w:rPr>
          <w:lang w:val="es-ES_tradnl"/>
        </w:rPr>
        <w:t xml:space="preserve"> </w:t>
      </w:r>
      <w:r w:rsidR="00901750" w:rsidRPr="00EE3D94">
        <w:rPr>
          <w:lang w:val="es-ES_tradnl"/>
        </w:rPr>
        <w:t>estructuras débiles que</w:t>
      </w:r>
      <w:r w:rsidR="00DB0E77" w:rsidRPr="00EE3D94">
        <w:rPr>
          <w:lang w:val="es-ES_tradnl"/>
        </w:rPr>
        <w:t xml:space="preserve"> </w:t>
      </w:r>
      <w:r w:rsidR="009E37A9" w:rsidRPr="00EE3D94">
        <w:rPr>
          <w:lang w:val="es-ES_tradnl"/>
        </w:rPr>
        <w:t xml:space="preserve">han </w:t>
      </w:r>
      <w:r w:rsidR="00DB0E77" w:rsidRPr="00EE3D94">
        <w:rPr>
          <w:lang w:val="es-ES_tradnl"/>
        </w:rPr>
        <w:t>funciona</w:t>
      </w:r>
      <w:r w:rsidR="00482DD1" w:rsidRPr="00EE3D94">
        <w:rPr>
          <w:lang w:val="es-ES_tradnl"/>
        </w:rPr>
        <w:t>do</w:t>
      </w:r>
      <w:r w:rsidR="005A3938" w:rsidRPr="00EE3D94">
        <w:rPr>
          <w:lang w:val="es-ES_tradnl"/>
        </w:rPr>
        <w:t xml:space="preserve"> </w:t>
      </w:r>
      <w:r w:rsidR="00DB0E77" w:rsidRPr="00EE3D94">
        <w:rPr>
          <w:lang w:val="es-ES_tradnl"/>
        </w:rPr>
        <w:t xml:space="preserve">como herramientas ratificadoras </w:t>
      </w:r>
      <w:r w:rsidR="00580B95" w:rsidRPr="00EE3D94">
        <w:rPr>
          <w:lang w:val="es-ES_tradnl"/>
        </w:rPr>
        <w:t>en</w:t>
      </w:r>
      <w:r w:rsidR="00DB0E77" w:rsidRPr="00EE3D94">
        <w:rPr>
          <w:lang w:val="es-ES_tradnl"/>
        </w:rPr>
        <w:t xml:space="preserve"> manos de los regímenes autoritarios</w:t>
      </w:r>
      <w:r w:rsidR="00D25280">
        <w:rPr>
          <w:lang w:val="es-ES_tradnl"/>
        </w:rPr>
        <w:t xml:space="preserve"> y</w:t>
      </w:r>
      <w:r w:rsidR="00DB0E77" w:rsidRPr="00EE3D94">
        <w:rPr>
          <w:lang w:val="es-ES_tradnl"/>
        </w:rPr>
        <w:t xml:space="preserve"> su baja capacidad </w:t>
      </w:r>
      <w:r w:rsidR="00580B95" w:rsidRPr="00EE3D94">
        <w:rPr>
          <w:lang w:val="es-ES_tradnl"/>
        </w:rPr>
        <w:t xml:space="preserve">técnica y </w:t>
      </w:r>
      <w:r w:rsidR="00DB0E77" w:rsidRPr="00EE3D94">
        <w:rPr>
          <w:lang w:val="es-ES_tradnl"/>
        </w:rPr>
        <w:t>política frente al Ejecutivo; la ausencia o inadecuada utilización de mecanismos institucionales de interacción con la sociedad civil</w:t>
      </w:r>
      <w:r w:rsidR="00580B95" w:rsidRPr="00EE3D94">
        <w:rPr>
          <w:lang w:val="es-ES_tradnl"/>
        </w:rPr>
        <w:t xml:space="preserve"> le </w:t>
      </w:r>
      <w:r w:rsidR="005A3938" w:rsidRPr="00EE3D94">
        <w:rPr>
          <w:lang w:val="es-ES_tradnl"/>
        </w:rPr>
        <w:t>ha</w:t>
      </w:r>
      <w:r w:rsidR="00D25280">
        <w:rPr>
          <w:lang w:val="es-ES_tradnl"/>
        </w:rPr>
        <w:t>n</w:t>
      </w:r>
      <w:r w:rsidR="005A3938" w:rsidRPr="00EE3D94">
        <w:rPr>
          <w:lang w:val="es-ES_tradnl"/>
        </w:rPr>
        <w:t xml:space="preserve"> impe</w:t>
      </w:r>
      <w:r w:rsidR="00580B95" w:rsidRPr="00EE3D94">
        <w:rPr>
          <w:lang w:val="es-ES_tradnl"/>
        </w:rPr>
        <w:t>d</w:t>
      </w:r>
      <w:r w:rsidR="005A3938" w:rsidRPr="00EE3D94">
        <w:rPr>
          <w:lang w:val="es-ES_tradnl"/>
        </w:rPr>
        <w:t>ido</w:t>
      </w:r>
      <w:r w:rsidR="00580B95" w:rsidRPr="00EE3D94">
        <w:rPr>
          <w:lang w:val="es-ES_tradnl"/>
        </w:rPr>
        <w:t xml:space="preserve"> acercar la representación a la ciudadanía</w:t>
      </w:r>
      <w:r w:rsidR="00F735AF" w:rsidRPr="00EE3D94">
        <w:rPr>
          <w:lang w:val="es-ES_tradnl"/>
        </w:rPr>
        <w:t>. Al mismo tiempo, ha sido difícil desarraigar prácticas</w:t>
      </w:r>
      <w:r w:rsidR="00DB0E77" w:rsidRPr="00EE3D94">
        <w:rPr>
          <w:lang w:val="es-ES_tradnl"/>
        </w:rPr>
        <w:t xml:space="preserve"> como el manejo de los </w:t>
      </w:r>
      <w:r w:rsidR="0097789A">
        <w:rPr>
          <w:lang w:val="es-ES_tradnl"/>
        </w:rPr>
        <w:t>C</w:t>
      </w:r>
      <w:r w:rsidR="0097789A" w:rsidRPr="00EE3D94">
        <w:rPr>
          <w:lang w:val="es-ES_tradnl"/>
        </w:rPr>
        <w:t xml:space="preserve">ongresos </w:t>
      </w:r>
      <w:r w:rsidR="00DB0E77" w:rsidRPr="00EE3D94">
        <w:rPr>
          <w:lang w:val="es-ES_tradnl"/>
        </w:rPr>
        <w:t>bajo criterios patrimonialistas</w:t>
      </w:r>
      <w:r w:rsidR="00580B95" w:rsidRPr="00EE3D94">
        <w:rPr>
          <w:lang w:val="es-ES_tradnl"/>
        </w:rPr>
        <w:t xml:space="preserve"> sin ningún apego técnico</w:t>
      </w:r>
      <w:r w:rsidR="00D25280">
        <w:rPr>
          <w:lang w:val="es-ES_tradnl"/>
        </w:rPr>
        <w:t>.</w:t>
      </w:r>
      <w:r w:rsidR="00D25280" w:rsidRPr="00EE3D94">
        <w:rPr>
          <w:lang w:val="es-ES_tradnl"/>
        </w:rPr>
        <w:t xml:space="preserve"> </w:t>
      </w:r>
      <w:r w:rsidR="00D25280">
        <w:rPr>
          <w:lang w:val="es-ES_tradnl"/>
        </w:rPr>
        <w:t>T</w:t>
      </w:r>
      <w:r w:rsidR="00D25280" w:rsidRPr="00EE3D94">
        <w:rPr>
          <w:lang w:val="es-ES_tradnl"/>
        </w:rPr>
        <w:t xml:space="preserve">odo </w:t>
      </w:r>
      <w:r w:rsidR="00F735AF" w:rsidRPr="00EE3D94">
        <w:rPr>
          <w:lang w:val="es-ES_tradnl"/>
        </w:rPr>
        <w:t xml:space="preserve">ello ha </w:t>
      </w:r>
      <w:r w:rsidR="00DB0E77" w:rsidRPr="00EE3D94">
        <w:rPr>
          <w:lang w:val="es-ES_tradnl"/>
        </w:rPr>
        <w:t>genera</w:t>
      </w:r>
      <w:r w:rsidR="00580B95" w:rsidRPr="00EE3D94">
        <w:rPr>
          <w:lang w:val="es-ES_tradnl"/>
        </w:rPr>
        <w:t>do</w:t>
      </w:r>
      <w:r w:rsidR="00DB0E77" w:rsidRPr="00EE3D94">
        <w:rPr>
          <w:lang w:val="es-ES_tradnl"/>
        </w:rPr>
        <w:t xml:space="preserve"> entre la población percepciones de desconfianza y baja estima en relación con otras instituciones públicas.</w:t>
      </w:r>
      <w:r w:rsidR="005A3938" w:rsidRPr="00EE3D94">
        <w:rPr>
          <w:rStyle w:val="Refdenotaalpie"/>
          <w:lang w:val="es-ES_tradnl"/>
        </w:rPr>
        <w:footnoteReference w:id="2"/>
      </w:r>
      <w:r w:rsidR="00DB0E77" w:rsidRPr="00EE3D94">
        <w:rPr>
          <w:lang w:val="es-ES_tradnl"/>
        </w:rPr>
        <w:t xml:space="preserve"> </w:t>
      </w:r>
    </w:p>
    <w:p w14:paraId="6EFD8216" w14:textId="150B3D03" w:rsidR="009E37A9" w:rsidRPr="00EE3D94" w:rsidRDefault="00482DD1"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lastRenderedPageBreak/>
        <w:t xml:space="preserve">No obstante las debilidades estructurales inherentes a los congresos latinoamericanos, </w:t>
      </w:r>
      <w:r w:rsidR="00615643" w:rsidRPr="00EE3D94">
        <w:rPr>
          <w:rFonts w:ascii="Times New Roman" w:hAnsi="Times New Roman" w:cs="Times New Roman"/>
          <w:sz w:val="24"/>
          <w:szCs w:val="24"/>
        </w:rPr>
        <w:t xml:space="preserve">no se puede negar que hoy </w:t>
      </w:r>
      <w:r w:rsidR="00D25280">
        <w:rPr>
          <w:rFonts w:ascii="Times New Roman" w:hAnsi="Times New Roman" w:cs="Times New Roman"/>
          <w:sz w:val="24"/>
          <w:szCs w:val="24"/>
        </w:rPr>
        <w:t xml:space="preserve">en </w:t>
      </w:r>
      <w:r w:rsidR="00615643" w:rsidRPr="00EE3D94">
        <w:rPr>
          <w:rFonts w:ascii="Times New Roman" w:hAnsi="Times New Roman" w:cs="Times New Roman"/>
          <w:sz w:val="24"/>
          <w:szCs w:val="24"/>
        </w:rPr>
        <w:t>día</w:t>
      </w:r>
      <w:r w:rsidR="00580B95" w:rsidRPr="00EE3D94">
        <w:rPr>
          <w:rFonts w:ascii="Times New Roman" w:hAnsi="Times New Roman" w:cs="Times New Roman"/>
          <w:sz w:val="24"/>
          <w:szCs w:val="24"/>
        </w:rPr>
        <w:t xml:space="preserve"> </w:t>
      </w:r>
      <w:r w:rsidR="00615643" w:rsidRPr="00EE3D94">
        <w:rPr>
          <w:rFonts w:ascii="Times New Roman" w:hAnsi="Times New Roman" w:cs="Times New Roman"/>
          <w:sz w:val="24"/>
          <w:szCs w:val="24"/>
        </w:rPr>
        <w:t>las instituciones legislativas</w:t>
      </w:r>
      <w:r w:rsidR="009E37A9" w:rsidRPr="00EE3D94">
        <w:rPr>
          <w:rFonts w:ascii="Times New Roman" w:hAnsi="Times New Roman" w:cs="Times New Roman"/>
          <w:sz w:val="24"/>
          <w:szCs w:val="24"/>
        </w:rPr>
        <w:t xml:space="preserve"> en la región</w:t>
      </w:r>
      <w:r w:rsidR="00615643" w:rsidRPr="00EE3D94">
        <w:rPr>
          <w:rFonts w:ascii="Times New Roman" w:hAnsi="Times New Roman" w:cs="Times New Roman"/>
          <w:sz w:val="24"/>
          <w:szCs w:val="24"/>
        </w:rPr>
        <w:t xml:space="preserve"> </w:t>
      </w:r>
      <w:r w:rsidRPr="00EE3D94">
        <w:rPr>
          <w:rFonts w:ascii="Times New Roman" w:hAnsi="Times New Roman" w:cs="Times New Roman"/>
          <w:sz w:val="24"/>
          <w:szCs w:val="24"/>
        </w:rPr>
        <w:t>buscan</w:t>
      </w:r>
      <w:r w:rsidR="00615643" w:rsidRPr="00EE3D94">
        <w:rPr>
          <w:rFonts w:ascii="Times New Roman" w:hAnsi="Times New Roman" w:cs="Times New Roman"/>
          <w:sz w:val="24"/>
          <w:szCs w:val="24"/>
        </w:rPr>
        <w:t xml:space="preserve"> fortalece</w:t>
      </w:r>
      <w:r w:rsidRPr="00EE3D94">
        <w:rPr>
          <w:rFonts w:ascii="Times New Roman" w:hAnsi="Times New Roman" w:cs="Times New Roman"/>
          <w:sz w:val="24"/>
          <w:szCs w:val="24"/>
        </w:rPr>
        <w:t>rse</w:t>
      </w:r>
      <w:r w:rsidR="00615643" w:rsidRPr="00EE3D94">
        <w:rPr>
          <w:rFonts w:ascii="Times New Roman" w:hAnsi="Times New Roman" w:cs="Times New Roman"/>
          <w:sz w:val="24"/>
          <w:szCs w:val="24"/>
        </w:rPr>
        <w:t xml:space="preserve"> en la medida en la que </w:t>
      </w:r>
      <w:r w:rsidR="00F735AF" w:rsidRPr="00EE3D94">
        <w:rPr>
          <w:rFonts w:ascii="Times New Roman" w:hAnsi="Times New Roman" w:cs="Times New Roman"/>
          <w:sz w:val="24"/>
          <w:szCs w:val="24"/>
        </w:rPr>
        <w:t xml:space="preserve">la crisis </w:t>
      </w:r>
      <w:r w:rsidR="00D13B4D" w:rsidRPr="00EE3D94">
        <w:rPr>
          <w:rFonts w:ascii="Times New Roman" w:hAnsi="Times New Roman" w:cs="Times New Roman"/>
          <w:sz w:val="24"/>
          <w:szCs w:val="24"/>
        </w:rPr>
        <w:t xml:space="preserve">ofrece </w:t>
      </w:r>
      <w:r w:rsidRPr="00EE3D94">
        <w:rPr>
          <w:rFonts w:ascii="Times New Roman" w:hAnsi="Times New Roman" w:cs="Times New Roman"/>
          <w:sz w:val="24"/>
          <w:szCs w:val="24"/>
        </w:rPr>
        <w:t>oportunidad</w:t>
      </w:r>
      <w:r w:rsidR="00D13B4D" w:rsidRPr="00EE3D94">
        <w:rPr>
          <w:rFonts w:ascii="Times New Roman" w:hAnsi="Times New Roman" w:cs="Times New Roman"/>
          <w:sz w:val="24"/>
          <w:szCs w:val="24"/>
        </w:rPr>
        <w:t>es</w:t>
      </w:r>
      <w:r w:rsidRPr="00EE3D94">
        <w:rPr>
          <w:rFonts w:ascii="Times New Roman" w:hAnsi="Times New Roman" w:cs="Times New Roman"/>
          <w:sz w:val="24"/>
          <w:szCs w:val="24"/>
        </w:rPr>
        <w:t xml:space="preserve"> para </w:t>
      </w:r>
      <w:r w:rsidR="00615643" w:rsidRPr="00EE3D94">
        <w:rPr>
          <w:rFonts w:ascii="Times New Roman" w:hAnsi="Times New Roman" w:cs="Times New Roman"/>
          <w:sz w:val="24"/>
          <w:szCs w:val="24"/>
        </w:rPr>
        <w:t xml:space="preserve">equilibrar </w:t>
      </w:r>
      <w:r w:rsidR="00D13B4D" w:rsidRPr="00EE3D94">
        <w:rPr>
          <w:rFonts w:ascii="Times New Roman" w:hAnsi="Times New Roman" w:cs="Times New Roman"/>
          <w:sz w:val="24"/>
          <w:szCs w:val="24"/>
        </w:rPr>
        <w:t>los poderes</w:t>
      </w:r>
      <w:r w:rsidR="003E5C7C" w:rsidRPr="00EE3D94">
        <w:rPr>
          <w:rFonts w:ascii="Times New Roman" w:hAnsi="Times New Roman" w:cs="Times New Roman"/>
          <w:sz w:val="24"/>
          <w:szCs w:val="24"/>
        </w:rPr>
        <w:t xml:space="preserve">, </w:t>
      </w:r>
      <w:r w:rsidR="00615643" w:rsidRPr="00EE3D94">
        <w:rPr>
          <w:rFonts w:ascii="Times New Roman" w:hAnsi="Times New Roman" w:cs="Times New Roman"/>
          <w:sz w:val="24"/>
          <w:szCs w:val="24"/>
        </w:rPr>
        <w:t>integra</w:t>
      </w:r>
      <w:r w:rsidRPr="00EE3D94">
        <w:rPr>
          <w:rFonts w:ascii="Times New Roman" w:hAnsi="Times New Roman" w:cs="Times New Roman"/>
          <w:sz w:val="24"/>
          <w:szCs w:val="24"/>
        </w:rPr>
        <w:t xml:space="preserve">r </w:t>
      </w:r>
      <w:r w:rsidR="00615643" w:rsidRPr="00EE3D94">
        <w:rPr>
          <w:rFonts w:ascii="Times New Roman" w:hAnsi="Times New Roman" w:cs="Times New Roman"/>
          <w:sz w:val="24"/>
          <w:szCs w:val="24"/>
        </w:rPr>
        <w:t xml:space="preserve">a la representación política la </w:t>
      </w:r>
      <w:r w:rsidR="006646F9" w:rsidRPr="00EE3D94">
        <w:rPr>
          <w:rFonts w:ascii="Times New Roman" w:hAnsi="Times New Roman" w:cs="Times New Roman"/>
          <w:sz w:val="24"/>
          <w:szCs w:val="24"/>
        </w:rPr>
        <w:t>participa</w:t>
      </w:r>
      <w:r w:rsidR="00615643" w:rsidRPr="00EE3D94">
        <w:rPr>
          <w:rFonts w:ascii="Times New Roman" w:hAnsi="Times New Roman" w:cs="Times New Roman"/>
          <w:sz w:val="24"/>
          <w:szCs w:val="24"/>
        </w:rPr>
        <w:t>ción ciudadana</w:t>
      </w:r>
      <w:r w:rsidR="00D25280">
        <w:rPr>
          <w:rFonts w:ascii="Times New Roman" w:hAnsi="Times New Roman" w:cs="Times New Roman"/>
          <w:sz w:val="24"/>
          <w:szCs w:val="24"/>
        </w:rPr>
        <w:t>,</w:t>
      </w:r>
      <w:r w:rsidR="00D25280" w:rsidRPr="00EE3D94">
        <w:rPr>
          <w:rFonts w:ascii="Times New Roman" w:hAnsi="Times New Roman" w:cs="Times New Roman"/>
          <w:sz w:val="24"/>
          <w:szCs w:val="24"/>
        </w:rPr>
        <w:t xml:space="preserve"> </w:t>
      </w:r>
      <w:r w:rsidRPr="00EE3D94">
        <w:rPr>
          <w:rFonts w:ascii="Times New Roman" w:hAnsi="Times New Roman" w:cs="Times New Roman"/>
          <w:sz w:val="24"/>
          <w:szCs w:val="24"/>
        </w:rPr>
        <w:t>ampliar los</w:t>
      </w:r>
      <w:r w:rsidR="00615643" w:rsidRPr="00EE3D94">
        <w:rPr>
          <w:rFonts w:ascii="Times New Roman" w:hAnsi="Times New Roman" w:cs="Times New Roman"/>
          <w:sz w:val="24"/>
          <w:szCs w:val="24"/>
        </w:rPr>
        <w:t xml:space="preserve"> canales de</w:t>
      </w:r>
      <w:r w:rsidR="003E5C7C" w:rsidRPr="00EE3D94">
        <w:rPr>
          <w:rFonts w:ascii="Times New Roman" w:hAnsi="Times New Roman" w:cs="Times New Roman"/>
          <w:sz w:val="24"/>
          <w:szCs w:val="24"/>
        </w:rPr>
        <w:t xml:space="preserve"> interacción social </w:t>
      </w:r>
      <w:r w:rsidR="009E37A9" w:rsidRPr="00EE3D94">
        <w:rPr>
          <w:rFonts w:ascii="Times New Roman" w:hAnsi="Times New Roman" w:cs="Times New Roman"/>
          <w:sz w:val="24"/>
          <w:szCs w:val="24"/>
        </w:rPr>
        <w:t xml:space="preserve">y </w:t>
      </w:r>
      <w:r w:rsidR="003E5C7C" w:rsidRPr="00EE3D94">
        <w:rPr>
          <w:rFonts w:ascii="Times New Roman" w:hAnsi="Times New Roman" w:cs="Times New Roman"/>
          <w:sz w:val="24"/>
          <w:szCs w:val="24"/>
        </w:rPr>
        <w:t>prom</w:t>
      </w:r>
      <w:r w:rsidR="009E37A9" w:rsidRPr="00EE3D94">
        <w:rPr>
          <w:rFonts w:ascii="Times New Roman" w:hAnsi="Times New Roman" w:cs="Times New Roman"/>
          <w:sz w:val="24"/>
          <w:szCs w:val="24"/>
        </w:rPr>
        <w:t>over</w:t>
      </w:r>
      <w:r w:rsidR="00615643" w:rsidRPr="00EE3D94">
        <w:rPr>
          <w:rFonts w:ascii="Times New Roman" w:hAnsi="Times New Roman" w:cs="Times New Roman"/>
          <w:sz w:val="24"/>
          <w:szCs w:val="24"/>
        </w:rPr>
        <w:t xml:space="preserve"> la </w:t>
      </w:r>
      <w:r w:rsidR="006646F9" w:rsidRPr="00EE3D94">
        <w:rPr>
          <w:rFonts w:ascii="Times New Roman" w:hAnsi="Times New Roman" w:cs="Times New Roman"/>
          <w:sz w:val="24"/>
          <w:szCs w:val="24"/>
        </w:rPr>
        <w:t>r</w:t>
      </w:r>
      <w:r w:rsidR="00615643" w:rsidRPr="00EE3D94">
        <w:rPr>
          <w:rFonts w:ascii="Times New Roman" w:hAnsi="Times New Roman" w:cs="Times New Roman"/>
          <w:sz w:val="24"/>
          <w:szCs w:val="24"/>
        </w:rPr>
        <w:t>e</w:t>
      </w:r>
      <w:r w:rsidR="006646F9" w:rsidRPr="00EE3D94">
        <w:rPr>
          <w:rFonts w:ascii="Times New Roman" w:hAnsi="Times New Roman" w:cs="Times New Roman"/>
          <w:sz w:val="24"/>
          <w:szCs w:val="24"/>
        </w:rPr>
        <w:t>nd</w:t>
      </w:r>
      <w:r w:rsidR="00615643" w:rsidRPr="00EE3D94">
        <w:rPr>
          <w:rFonts w:ascii="Times New Roman" w:hAnsi="Times New Roman" w:cs="Times New Roman"/>
          <w:sz w:val="24"/>
          <w:szCs w:val="24"/>
        </w:rPr>
        <w:t>ición de</w:t>
      </w:r>
      <w:r w:rsidR="006646F9" w:rsidRPr="00EE3D94">
        <w:rPr>
          <w:rFonts w:ascii="Times New Roman" w:hAnsi="Times New Roman" w:cs="Times New Roman"/>
          <w:sz w:val="24"/>
          <w:szCs w:val="24"/>
        </w:rPr>
        <w:t xml:space="preserve"> cuentas, </w:t>
      </w:r>
      <w:r w:rsidR="00615643" w:rsidRPr="00EE3D94">
        <w:rPr>
          <w:rFonts w:ascii="Times New Roman" w:hAnsi="Times New Roman" w:cs="Times New Roman"/>
          <w:sz w:val="24"/>
          <w:szCs w:val="24"/>
        </w:rPr>
        <w:t xml:space="preserve">la </w:t>
      </w:r>
      <w:r w:rsidR="006646F9" w:rsidRPr="00EE3D94">
        <w:rPr>
          <w:rFonts w:ascii="Times New Roman" w:hAnsi="Times New Roman" w:cs="Times New Roman"/>
          <w:sz w:val="24"/>
          <w:szCs w:val="24"/>
        </w:rPr>
        <w:t>transparen</w:t>
      </w:r>
      <w:r w:rsidR="00615643" w:rsidRPr="00EE3D94">
        <w:rPr>
          <w:rFonts w:ascii="Times New Roman" w:hAnsi="Times New Roman" w:cs="Times New Roman"/>
          <w:sz w:val="24"/>
          <w:szCs w:val="24"/>
        </w:rPr>
        <w:t>cia</w:t>
      </w:r>
      <w:r w:rsidR="006646F9" w:rsidRPr="00EE3D94">
        <w:rPr>
          <w:rFonts w:ascii="Times New Roman" w:hAnsi="Times New Roman" w:cs="Times New Roman"/>
          <w:sz w:val="24"/>
          <w:szCs w:val="24"/>
        </w:rPr>
        <w:t xml:space="preserve"> y </w:t>
      </w:r>
      <w:r w:rsidR="00615643" w:rsidRPr="00EE3D94">
        <w:rPr>
          <w:rFonts w:ascii="Times New Roman" w:hAnsi="Times New Roman" w:cs="Times New Roman"/>
          <w:sz w:val="24"/>
          <w:szCs w:val="24"/>
        </w:rPr>
        <w:t xml:space="preserve">la evaluación </w:t>
      </w:r>
      <w:r w:rsidR="009E37A9" w:rsidRPr="00EE3D94">
        <w:rPr>
          <w:rFonts w:ascii="Times New Roman" w:hAnsi="Times New Roman" w:cs="Times New Roman"/>
          <w:sz w:val="24"/>
          <w:szCs w:val="24"/>
        </w:rPr>
        <w:t>de los congreso</w:t>
      </w:r>
      <w:r w:rsidR="006646F9" w:rsidRPr="00EE3D94">
        <w:rPr>
          <w:rFonts w:ascii="Times New Roman" w:hAnsi="Times New Roman" w:cs="Times New Roman"/>
          <w:sz w:val="24"/>
          <w:szCs w:val="24"/>
        </w:rPr>
        <w:t>s.</w:t>
      </w:r>
      <w:r w:rsidR="009E37A9" w:rsidRPr="00EE3D94">
        <w:rPr>
          <w:rFonts w:ascii="Times New Roman" w:hAnsi="Times New Roman" w:cs="Times New Roman"/>
          <w:sz w:val="24"/>
          <w:szCs w:val="24"/>
        </w:rPr>
        <w:t xml:space="preserve"> </w:t>
      </w:r>
    </w:p>
    <w:p w14:paraId="71363174" w14:textId="08FFA37F" w:rsidR="00AE43C4" w:rsidRPr="00EE3D94" w:rsidRDefault="00327918"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t xml:space="preserve">En este sentido, el análisis se </w:t>
      </w:r>
      <w:r w:rsidR="00D25280" w:rsidRPr="00EE3D94">
        <w:rPr>
          <w:rFonts w:ascii="Times New Roman" w:hAnsi="Times New Roman" w:cs="Times New Roman"/>
          <w:sz w:val="24"/>
          <w:szCs w:val="24"/>
        </w:rPr>
        <w:t>abord</w:t>
      </w:r>
      <w:r w:rsidR="00D25280">
        <w:rPr>
          <w:rFonts w:ascii="Times New Roman" w:hAnsi="Times New Roman" w:cs="Times New Roman"/>
          <w:sz w:val="24"/>
          <w:szCs w:val="24"/>
        </w:rPr>
        <w:t>ó</w:t>
      </w:r>
      <w:r w:rsidR="00D25280" w:rsidRPr="00EE3D94">
        <w:rPr>
          <w:rFonts w:ascii="Times New Roman" w:hAnsi="Times New Roman" w:cs="Times New Roman"/>
          <w:sz w:val="24"/>
          <w:szCs w:val="24"/>
        </w:rPr>
        <w:t xml:space="preserve"> </w:t>
      </w:r>
      <w:r w:rsidRPr="00EE3D94">
        <w:rPr>
          <w:rFonts w:ascii="Times New Roman" w:hAnsi="Times New Roman" w:cs="Times New Roman"/>
          <w:sz w:val="24"/>
          <w:szCs w:val="24"/>
        </w:rPr>
        <w:t xml:space="preserve">en tres dimensiones: </w:t>
      </w:r>
      <w:r w:rsidR="006646F9" w:rsidRPr="00F84B32">
        <w:rPr>
          <w:rFonts w:ascii="Times New Roman" w:hAnsi="Times New Roman" w:cs="Times New Roman"/>
          <w:sz w:val="24"/>
          <w:szCs w:val="24"/>
        </w:rPr>
        <w:t>1) l</w:t>
      </w:r>
      <w:r w:rsidR="00AE43C4" w:rsidRPr="00F84B32">
        <w:rPr>
          <w:rFonts w:ascii="Times New Roman" w:hAnsi="Times New Roman" w:cs="Times New Roman"/>
          <w:sz w:val="24"/>
          <w:szCs w:val="24"/>
        </w:rPr>
        <w:t>a rendición de cuentas</w:t>
      </w:r>
      <w:r w:rsidR="00D13B4D" w:rsidRPr="00F84B32">
        <w:rPr>
          <w:rFonts w:ascii="Times New Roman" w:hAnsi="Times New Roman" w:cs="Times New Roman"/>
          <w:sz w:val="24"/>
          <w:szCs w:val="24"/>
        </w:rPr>
        <w:t xml:space="preserve"> vertical</w:t>
      </w:r>
      <w:r w:rsidR="00AE43C4" w:rsidRPr="00F84B32">
        <w:rPr>
          <w:rFonts w:ascii="Times New Roman" w:hAnsi="Times New Roman" w:cs="Times New Roman"/>
          <w:sz w:val="24"/>
          <w:szCs w:val="24"/>
        </w:rPr>
        <w:t>;</w:t>
      </w:r>
      <w:r w:rsidR="006646F9" w:rsidRPr="00F84B32">
        <w:rPr>
          <w:rFonts w:ascii="Times New Roman" w:hAnsi="Times New Roman" w:cs="Times New Roman"/>
          <w:sz w:val="24"/>
          <w:szCs w:val="24"/>
        </w:rPr>
        <w:t xml:space="preserve"> 2) los sistemas de información legislativa</w:t>
      </w:r>
      <w:r w:rsidR="00D25280">
        <w:rPr>
          <w:rFonts w:ascii="Times New Roman" w:hAnsi="Times New Roman" w:cs="Times New Roman"/>
          <w:sz w:val="24"/>
          <w:szCs w:val="24"/>
        </w:rPr>
        <w:t>;</w:t>
      </w:r>
      <w:r w:rsidR="006646F9" w:rsidRPr="00F84B32">
        <w:rPr>
          <w:rFonts w:ascii="Times New Roman" w:hAnsi="Times New Roman" w:cs="Times New Roman"/>
          <w:sz w:val="24"/>
          <w:szCs w:val="24"/>
        </w:rPr>
        <w:t xml:space="preserve"> </w:t>
      </w:r>
      <w:r w:rsidR="00AE43C4" w:rsidRPr="00F84B32">
        <w:rPr>
          <w:rFonts w:ascii="Times New Roman" w:hAnsi="Times New Roman" w:cs="Times New Roman"/>
          <w:sz w:val="24"/>
          <w:szCs w:val="24"/>
        </w:rPr>
        <w:t>y</w:t>
      </w:r>
      <w:r w:rsidR="006646F9" w:rsidRPr="00F84B32">
        <w:rPr>
          <w:rFonts w:ascii="Times New Roman" w:hAnsi="Times New Roman" w:cs="Times New Roman"/>
          <w:sz w:val="24"/>
          <w:szCs w:val="24"/>
        </w:rPr>
        <w:t xml:space="preserve"> 3) el acces</w:t>
      </w:r>
      <w:r w:rsidR="009E37A9" w:rsidRPr="00F84B32">
        <w:rPr>
          <w:rFonts w:ascii="Times New Roman" w:hAnsi="Times New Roman" w:cs="Times New Roman"/>
          <w:sz w:val="24"/>
          <w:szCs w:val="24"/>
        </w:rPr>
        <w:t xml:space="preserve">o ciudadano a la información y su </w:t>
      </w:r>
      <w:r w:rsidR="006646F9" w:rsidRPr="00F84B32">
        <w:rPr>
          <w:rFonts w:ascii="Times New Roman" w:hAnsi="Times New Roman" w:cs="Times New Roman"/>
          <w:sz w:val="24"/>
          <w:szCs w:val="24"/>
        </w:rPr>
        <w:t>incidencia en las decisiones legislativas.</w:t>
      </w:r>
      <w:r w:rsidR="006646F9" w:rsidRPr="00EE3D94">
        <w:rPr>
          <w:rFonts w:ascii="Times New Roman" w:hAnsi="Times New Roman" w:cs="Times New Roman"/>
          <w:sz w:val="24"/>
          <w:szCs w:val="24"/>
        </w:rPr>
        <w:t xml:space="preserve"> El primer elemento se </w:t>
      </w:r>
      <w:r w:rsidR="00D25280" w:rsidRPr="00EE3D94">
        <w:rPr>
          <w:rFonts w:ascii="Times New Roman" w:hAnsi="Times New Roman" w:cs="Times New Roman"/>
          <w:sz w:val="24"/>
          <w:szCs w:val="24"/>
        </w:rPr>
        <w:t>observ</w:t>
      </w:r>
      <w:r w:rsidR="00D25280">
        <w:rPr>
          <w:rFonts w:ascii="Times New Roman" w:hAnsi="Times New Roman" w:cs="Times New Roman"/>
          <w:sz w:val="24"/>
          <w:szCs w:val="24"/>
        </w:rPr>
        <w:t>ó</w:t>
      </w:r>
      <w:r w:rsidR="00D25280" w:rsidRPr="00EE3D94">
        <w:rPr>
          <w:rFonts w:ascii="Times New Roman" w:hAnsi="Times New Roman" w:cs="Times New Roman"/>
          <w:sz w:val="24"/>
          <w:szCs w:val="24"/>
        </w:rPr>
        <w:t xml:space="preserve"> </w:t>
      </w:r>
      <w:r w:rsidR="006646F9" w:rsidRPr="00EE3D94">
        <w:rPr>
          <w:rFonts w:ascii="Times New Roman" w:hAnsi="Times New Roman" w:cs="Times New Roman"/>
          <w:sz w:val="24"/>
          <w:szCs w:val="24"/>
        </w:rPr>
        <w:t xml:space="preserve">bajo el doble papel que cumple el Poder </w:t>
      </w:r>
      <w:r w:rsidR="00D25280">
        <w:rPr>
          <w:rFonts w:ascii="Times New Roman" w:hAnsi="Times New Roman" w:cs="Times New Roman"/>
          <w:sz w:val="24"/>
          <w:szCs w:val="24"/>
        </w:rPr>
        <w:t>L</w:t>
      </w:r>
      <w:r w:rsidR="00D25280" w:rsidRPr="00EE3D94">
        <w:rPr>
          <w:rFonts w:ascii="Times New Roman" w:hAnsi="Times New Roman" w:cs="Times New Roman"/>
          <w:sz w:val="24"/>
          <w:szCs w:val="24"/>
        </w:rPr>
        <w:t xml:space="preserve">egislativo </w:t>
      </w:r>
      <w:r w:rsidR="006646F9" w:rsidRPr="00EE3D94">
        <w:rPr>
          <w:rFonts w:ascii="Times New Roman" w:hAnsi="Times New Roman" w:cs="Times New Roman"/>
          <w:sz w:val="24"/>
          <w:szCs w:val="24"/>
        </w:rPr>
        <w:t xml:space="preserve">en términos de rendición de cuentas, como agente y sujeto de la rendición, </w:t>
      </w:r>
      <w:r w:rsidR="00AB0397" w:rsidRPr="00EE3D94">
        <w:rPr>
          <w:rFonts w:ascii="Times New Roman" w:hAnsi="Times New Roman" w:cs="Times New Roman"/>
          <w:sz w:val="24"/>
          <w:szCs w:val="24"/>
        </w:rPr>
        <w:t>es decir</w:t>
      </w:r>
      <w:r w:rsidR="00D25280">
        <w:rPr>
          <w:rFonts w:ascii="Times New Roman" w:hAnsi="Times New Roman" w:cs="Times New Roman"/>
          <w:sz w:val="24"/>
          <w:szCs w:val="24"/>
        </w:rPr>
        <w:t>,</w:t>
      </w:r>
      <w:r w:rsidR="00AB0397" w:rsidRPr="00EE3D94">
        <w:rPr>
          <w:rFonts w:ascii="Times New Roman" w:hAnsi="Times New Roman" w:cs="Times New Roman"/>
          <w:sz w:val="24"/>
          <w:szCs w:val="24"/>
        </w:rPr>
        <w:t xml:space="preserve"> como agente tiene a su cargo </w:t>
      </w:r>
      <w:r w:rsidR="006646F9" w:rsidRPr="00EE3D94">
        <w:rPr>
          <w:rFonts w:ascii="Times New Roman" w:hAnsi="Times New Roman" w:cs="Times New Roman"/>
          <w:sz w:val="24"/>
          <w:szCs w:val="24"/>
        </w:rPr>
        <w:t>vigila</w:t>
      </w:r>
      <w:r w:rsidR="00AB0397" w:rsidRPr="00EE3D94">
        <w:rPr>
          <w:rFonts w:ascii="Times New Roman" w:hAnsi="Times New Roman" w:cs="Times New Roman"/>
          <w:sz w:val="24"/>
          <w:szCs w:val="24"/>
        </w:rPr>
        <w:t>r</w:t>
      </w:r>
      <w:r w:rsidR="006646F9" w:rsidRPr="00EE3D94">
        <w:rPr>
          <w:rFonts w:ascii="Times New Roman" w:hAnsi="Times New Roman" w:cs="Times New Roman"/>
          <w:sz w:val="24"/>
          <w:szCs w:val="24"/>
        </w:rPr>
        <w:t xml:space="preserve"> y controla</w:t>
      </w:r>
      <w:r w:rsidR="00AB0397" w:rsidRPr="00EE3D94">
        <w:rPr>
          <w:rFonts w:ascii="Times New Roman" w:hAnsi="Times New Roman" w:cs="Times New Roman"/>
          <w:sz w:val="24"/>
          <w:szCs w:val="24"/>
        </w:rPr>
        <w:t xml:space="preserve">r a su contraparte </w:t>
      </w:r>
      <w:r w:rsidR="00D25280">
        <w:rPr>
          <w:rFonts w:ascii="Times New Roman" w:hAnsi="Times New Roman" w:cs="Times New Roman"/>
          <w:sz w:val="24"/>
          <w:szCs w:val="24"/>
        </w:rPr>
        <w:t>e</w:t>
      </w:r>
      <w:r w:rsidR="00D25280" w:rsidRPr="00EE3D94">
        <w:rPr>
          <w:rFonts w:ascii="Times New Roman" w:hAnsi="Times New Roman" w:cs="Times New Roman"/>
          <w:sz w:val="24"/>
          <w:szCs w:val="24"/>
        </w:rPr>
        <w:t>jecutiva</w:t>
      </w:r>
      <w:r w:rsidR="00AB0397" w:rsidRPr="00EE3D94">
        <w:rPr>
          <w:rFonts w:ascii="Times New Roman" w:hAnsi="Times New Roman" w:cs="Times New Roman"/>
          <w:sz w:val="24"/>
          <w:szCs w:val="24"/>
        </w:rPr>
        <w:t>. A</w:t>
      </w:r>
      <w:r w:rsidR="006646F9" w:rsidRPr="00EE3D94">
        <w:rPr>
          <w:rFonts w:ascii="Times New Roman" w:hAnsi="Times New Roman" w:cs="Times New Roman"/>
          <w:sz w:val="24"/>
          <w:szCs w:val="24"/>
        </w:rPr>
        <w:t xml:space="preserve">l </w:t>
      </w:r>
      <w:r w:rsidR="00AB0397" w:rsidRPr="00EE3D94">
        <w:rPr>
          <w:rFonts w:ascii="Times New Roman" w:hAnsi="Times New Roman" w:cs="Times New Roman"/>
          <w:sz w:val="24"/>
          <w:szCs w:val="24"/>
        </w:rPr>
        <w:t xml:space="preserve">mismo </w:t>
      </w:r>
      <w:r w:rsidR="006646F9" w:rsidRPr="00EE3D94">
        <w:rPr>
          <w:rFonts w:ascii="Times New Roman" w:hAnsi="Times New Roman" w:cs="Times New Roman"/>
          <w:sz w:val="24"/>
          <w:szCs w:val="24"/>
        </w:rPr>
        <w:t>tiempo</w:t>
      </w:r>
      <w:r w:rsidR="00D25280">
        <w:rPr>
          <w:rFonts w:ascii="Times New Roman" w:hAnsi="Times New Roman" w:cs="Times New Roman"/>
          <w:sz w:val="24"/>
          <w:szCs w:val="24"/>
        </w:rPr>
        <w:t>,</w:t>
      </w:r>
      <w:r w:rsidR="006646F9" w:rsidRPr="00EE3D94">
        <w:rPr>
          <w:rFonts w:ascii="Times New Roman" w:hAnsi="Times New Roman" w:cs="Times New Roman"/>
          <w:sz w:val="24"/>
          <w:szCs w:val="24"/>
        </w:rPr>
        <w:t xml:space="preserve"> </w:t>
      </w:r>
      <w:r w:rsidR="00AB0397" w:rsidRPr="00EE3D94">
        <w:rPr>
          <w:rFonts w:ascii="Times New Roman" w:hAnsi="Times New Roman" w:cs="Times New Roman"/>
          <w:sz w:val="24"/>
          <w:szCs w:val="24"/>
        </w:rPr>
        <w:t xml:space="preserve">el </w:t>
      </w:r>
      <w:r w:rsidR="0097789A">
        <w:rPr>
          <w:rFonts w:ascii="Times New Roman" w:hAnsi="Times New Roman" w:cs="Times New Roman"/>
          <w:sz w:val="24"/>
          <w:szCs w:val="24"/>
        </w:rPr>
        <w:t>C</w:t>
      </w:r>
      <w:r w:rsidR="0097789A" w:rsidRPr="00EE3D94">
        <w:rPr>
          <w:rFonts w:ascii="Times New Roman" w:hAnsi="Times New Roman" w:cs="Times New Roman"/>
          <w:sz w:val="24"/>
          <w:szCs w:val="24"/>
        </w:rPr>
        <w:t xml:space="preserve">ongreso </w:t>
      </w:r>
      <w:r w:rsidR="00AB0397" w:rsidRPr="00EE3D94">
        <w:rPr>
          <w:rFonts w:ascii="Times New Roman" w:hAnsi="Times New Roman" w:cs="Times New Roman"/>
          <w:sz w:val="24"/>
          <w:szCs w:val="24"/>
        </w:rPr>
        <w:t xml:space="preserve">es </w:t>
      </w:r>
      <w:r w:rsidR="006646F9" w:rsidRPr="00EE3D94">
        <w:rPr>
          <w:rFonts w:ascii="Times New Roman" w:hAnsi="Times New Roman" w:cs="Times New Roman"/>
          <w:sz w:val="24"/>
          <w:szCs w:val="24"/>
        </w:rPr>
        <w:t xml:space="preserve">sujeto de la rendición de cuentas </w:t>
      </w:r>
      <w:r w:rsidR="00AB0397" w:rsidRPr="00EE3D94">
        <w:rPr>
          <w:rFonts w:ascii="Times New Roman" w:hAnsi="Times New Roman" w:cs="Times New Roman"/>
          <w:sz w:val="24"/>
          <w:szCs w:val="24"/>
        </w:rPr>
        <w:t>en la medida</w:t>
      </w:r>
      <w:r w:rsidR="00D25280">
        <w:rPr>
          <w:rFonts w:ascii="Times New Roman" w:hAnsi="Times New Roman" w:cs="Times New Roman"/>
          <w:sz w:val="24"/>
          <w:szCs w:val="24"/>
        </w:rPr>
        <w:t xml:space="preserve"> en</w:t>
      </w:r>
      <w:r w:rsidR="00AB0397" w:rsidRPr="00EE3D94">
        <w:rPr>
          <w:rFonts w:ascii="Times New Roman" w:hAnsi="Times New Roman" w:cs="Times New Roman"/>
          <w:sz w:val="24"/>
          <w:szCs w:val="24"/>
        </w:rPr>
        <w:t xml:space="preserve"> que es sometido </w:t>
      </w:r>
      <w:r w:rsidR="00AB4D8A" w:rsidRPr="00EE3D94">
        <w:rPr>
          <w:rFonts w:ascii="Times New Roman" w:hAnsi="Times New Roman" w:cs="Times New Roman"/>
          <w:sz w:val="24"/>
          <w:szCs w:val="24"/>
        </w:rPr>
        <w:t>a elección</w:t>
      </w:r>
      <w:r w:rsidR="00D25280">
        <w:rPr>
          <w:rFonts w:ascii="Times New Roman" w:hAnsi="Times New Roman" w:cs="Times New Roman"/>
          <w:sz w:val="24"/>
          <w:szCs w:val="24"/>
        </w:rPr>
        <w:t>,</w:t>
      </w:r>
      <w:r w:rsidR="00AB4D8A" w:rsidRPr="00EE3D94">
        <w:rPr>
          <w:rFonts w:ascii="Times New Roman" w:hAnsi="Times New Roman" w:cs="Times New Roman"/>
          <w:sz w:val="24"/>
          <w:szCs w:val="24"/>
        </w:rPr>
        <w:t xml:space="preserve"> reelección </w:t>
      </w:r>
      <w:r w:rsidR="006646F9" w:rsidRPr="00EE3D94">
        <w:rPr>
          <w:rFonts w:ascii="Times New Roman" w:hAnsi="Times New Roman" w:cs="Times New Roman"/>
          <w:sz w:val="24"/>
          <w:szCs w:val="24"/>
        </w:rPr>
        <w:t xml:space="preserve">y </w:t>
      </w:r>
      <w:r w:rsidR="00AB4D8A" w:rsidRPr="00EE3D94">
        <w:rPr>
          <w:rFonts w:ascii="Times New Roman" w:hAnsi="Times New Roman" w:cs="Times New Roman"/>
          <w:sz w:val="24"/>
          <w:szCs w:val="24"/>
        </w:rPr>
        <w:t xml:space="preserve">al </w:t>
      </w:r>
      <w:r w:rsidR="00580B95" w:rsidRPr="00EE3D94">
        <w:rPr>
          <w:rFonts w:ascii="Times New Roman" w:hAnsi="Times New Roman" w:cs="Times New Roman"/>
          <w:sz w:val="24"/>
          <w:szCs w:val="24"/>
        </w:rPr>
        <w:t>control ciudadano</w:t>
      </w:r>
      <w:r w:rsidR="006646F9" w:rsidRPr="00EE3D94">
        <w:rPr>
          <w:rFonts w:ascii="Times New Roman" w:hAnsi="Times New Roman" w:cs="Times New Roman"/>
          <w:sz w:val="24"/>
          <w:szCs w:val="24"/>
        </w:rPr>
        <w:t xml:space="preserve"> </w:t>
      </w:r>
      <w:r w:rsidR="00AB4D8A" w:rsidRPr="00EE3D94">
        <w:rPr>
          <w:rFonts w:ascii="Times New Roman" w:hAnsi="Times New Roman" w:cs="Times New Roman"/>
          <w:sz w:val="24"/>
          <w:szCs w:val="24"/>
        </w:rPr>
        <w:t xml:space="preserve">(cuando este es permitido) </w:t>
      </w:r>
      <w:r w:rsidR="006646F9" w:rsidRPr="00EE3D94">
        <w:rPr>
          <w:rFonts w:ascii="Times New Roman" w:hAnsi="Times New Roman" w:cs="Times New Roman"/>
          <w:sz w:val="24"/>
          <w:szCs w:val="24"/>
        </w:rPr>
        <w:t>sobre sus legisladores</w:t>
      </w:r>
      <w:r w:rsidR="00D25280">
        <w:rPr>
          <w:rFonts w:ascii="Times New Roman" w:hAnsi="Times New Roman" w:cs="Times New Roman"/>
          <w:sz w:val="24"/>
          <w:szCs w:val="24"/>
        </w:rPr>
        <w:t>,</w:t>
      </w:r>
      <w:r w:rsidR="00AE43C4" w:rsidRPr="00EE3D94">
        <w:rPr>
          <w:rFonts w:ascii="Times New Roman" w:hAnsi="Times New Roman" w:cs="Times New Roman"/>
          <w:sz w:val="24"/>
          <w:szCs w:val="24"/>
        </w:rPr>
        <w:t xml:space="preserve"> a través de la reelección como elemento que incentiva el vínculo y el compromiso del legislador con su electorado y la capacidad ciudadana de evaluar el desempeño de su representante</w:t>
      </w:r>
      <w:r w:rsidR="006646F9" w:rsidRPr="00EE3D94">
        <w:rPr>
          <w:rFonts w:ascii="Times New Roman" w:hAnsi="Times New Roman" w:cs="Times New Roman"/>
          <w:sz w:val="24"/>
          <w:szCs w:val="24"/>
        </w:rPr>
        <w:t xml:space="preserve">. </w:t>
      </w:r>
    </w:p>
    <w:p w14:paraId="47141677" w14:textId="4711E550" w:rsidR="00A35727" w:rsidRDefault="006646F9" w:rsidP="006735A7">
      <w:pPr>
        <w:spacing w:line="360" w:lineRule="auto"/>
        <w:ind w:firstLine="708"/>
        <w:jc w:val="both"/>
        <w:rPr>
          <w:lang w:val="es-ES_tradnl"/>
        </w:rPr>
      </w:pPr>
      <w:r w:rsidRPr="00EE3D94">
        <w:rPr>
          <w:lang w:val="es-ES_tradnl"/>
        </w:rPr>
        <w:t>Los sistemas de información</w:t>
      </w:r>
      <w:r w:rsidR="00615643" w:rsidRPr="00EE3D94">
        <w:rPr>
          <w:lang w:val="es-ES_tradnl"/>
        </w:rPr>
        <w:t>, como segunda premisa,</w:t>
      </w:r>
      <w:r w:rsidRPr="00EE3D94">
        <w:rPr>
          <w:lang w:val="es-ES_tradnl"/>
        </w:rPr>
        <w:t xml:space="preserve"> son fundamentales para el cumplimiento del primero en tanto que la calidad de la información</w:t>
      </w:r>
      <w:r w:rsidR="009E422A" w:rsidRPr="00EE3D94">
        <w:rPr>
          <w:lang w:val="es-ES_tradnl"/>
        </w:rPr>
        <w:t xml:space="preserve"> legislativa</w:t>
      </w:r>
      <w:r w:rsidRPr="00EE3D94">
        <w:rPr>
          <w:lang w:val="es-ES_tradnl"/>
        </w:rPr>
        <w:t xml:space="preserve"> reduce la asimetría entre el Ejecutivo y el Legislativo y entre el Legislativo y los ciudadanos.</w:t>
      </w:r>
      <w:r w:rsidR="00E3089D" w:rsidRPr="00EE3D94">
        <w:rPr>
          <w:lang w:val="es-ES_tradnl"/>
        </w:rPr>
        <w:t xml:space="preserve"> El tercer elemento </w:t>
      </w:r>
      <w:r w:rsidR="00D25280" w:rsidRPr="00EE3D94">
        <w:rPr>
          <w:lang w:val="es-ES_tradnl"/>
        </w:rPr>
        <w:t>abord</w:t>
      </w:r>
      <w:r w:rsidR="00D25280">
        <w:rPr>
          <w:lang w:val="es-ES_tradnl"/>
        </w:rPr>
        <w:t>ó</w:t>
      </w:r>
      <w:r w:rsidR="00D25280" w:rsidRPr="00EE3D94">
        <w:rPr>
          <w:lang w:val="es-ES_tradnl"/>
        </w:rPr>
        <w:t xml:space="preserve"> </w:t>
      </w:r>
      <w:r w:rsidR="00E3089D" w:rsidRPr="00EE3D94">
        <w:rPr>
          <w:lang w:val="es-ES_tradnl"/>
        </w:rPr>
        <w:t>l</w:t>
      </w:r>
      <w:r w:rsidRPr="00EE3D94">
        <w:rPr>
          <w:lang w:val="es-ES_tradnl"/>
        </w:rPr>
        <w:t xml:space="preserve">a </w:t>
      </w:r>
      <w:r w:rsidR="00580B95" w:rsidRPr="00EE3D94">
        <w:rPr>
          <w:lang w:val="es-ES_tradnl"/>
        </w:rPr>
        <w:t>capacidad de los ciudadanos para incidir</w:t>
      </w:r>
      <w:r w:rsidRPr="00EE3D94">
        <w:rPr>
          <w:lang w:val="es-ES_tradnl"/>
        </w:rPr>
        <w:t xml:space="preserve"> en </w:t>
      </w:r>
      <w:r w:rsidR="00580B95" w:rsidRPr="00EE3D94">
        <w:rPr>
          <w:lang w:val="es-ES_tradnl"/>
        </w:rPr>
        <w:t xml:space="preserve">aquellos </w:t>
      </w:r>
      <w:r w:rsidRPr="00EE3D94">
        <w:rPr>
          <w:lang w:val="es-ES_tradnl"/>
        </w:rPr>
        <w:t xml:space="preserve">parlamentos abiertos cuyos criterios incluyen el acceso a la información de calidad, así como estructuras de integración a la participación ciudadana. </w:t>
      </w:r>
    </w:p>
    <w:p w14:paraId="14970369" w14:textId="006A825B" w:rsidR="00D7071B" w:rsidRDefault="00D7071B" w:rsidP="006735A7">
      <w:pPr>
        <w:spacing w:line="360" w:lineRule="auto"/>
        <w:ind w:firstLine="708"/>
        <w:jc w:val="both"/>
        <w:rPr>
          <w:lang w:val="es-ES_tradnl"/>
        </w:rPr>
      </w:pPr>
    </w:p>
    <w:p w14:paraId="11177ACF" w14:textId="4CCF0EF2" w:rsidR="00D7071B" w:rsidRDefault="00D7071B" w:rsidP="006735A7">
      <w:pPr>
        <w:spacing w:line="360" w:lineRule="auto"/>
        <w:ind w:firstLine="708"/>
        <w:jc w:val="both"/>
        <w:rPr>
          <w:lang w:val="es-ES_tradnl"/>
        </w:rPr>
      </w:pPr>
    </w:p>
    <w:p w14:paraId="3E7D44A6" w14:textId="66BF77A8" w:rsidR="00D7071B" w:rsidRDefault="00D7071B" w:rsidP="006735A7">
      <w:pPr>
        <w:spacing w:line="360" w:lineRule="auto"/>
        <w:ind w:firstLine="708"/>
        <w:jc w:val="both"/>
        <w:rPr>
          <w:lang w:val="es-ES_tradnl"/>
        </w:rPr>
      </w:pPr>
    </w:p>
    <w:p w14:paraId="5A5E62B0" w14:textId="71FCE109" w:rsidR="00D7071B" w:rsidRDefault="00D7071B" w:rsidP="006735A7">
      <w:pPr>
        <w:spacing w:line="360" w:lineRule="auto"/>
        <w:ind w:firstLine="708"/>
        <w:jc w:val="both"/>
        <w:rPr>
          <w:lang w:val="es-ES_tradnl"/>
        </w:rPr>
      </w:pPr>
    </w:p>
    <w:p w14:paraId="0D521414" w14:textId="20D8F5D8" w:rsidR="00D7071B" w:rsidRDefault="00D7071B" w:rsidP="006735A7">
      <w:pPr>
        <w:spacing w:line="360" w:lineRule="auto"/>
        <w:ind w:firstLine="708"/>
        <w:jc w:val="both"/>
        <w:rPr>
          <w:lang w:val="es-ES_tradnl"/>
        </w:rPr>
      </w:pPr>
    </w:p>
    <w:p w14:paraId="3E5C2A3F" w14:textId="70CD975D" w:rsidR="00D7071B" w:rsidRDefault="00D7071B" w:rsidP="006735A7">
      <w:pPr>
        <w:spacing w:line="360" w:lineRule="auto"/>
        <w:ind w:firstLine="708"/>
        <w:jc w:val="both"/>
        <w:rPr>
          <w:lang w:val="es-ES_tradnl"/>
        </w:rPr>
      </w:pPr>
    </w:p>
    <w:p w14:paraId="1A34BAE1" w14:textId="73F21962" w:rsidR="00D7071B" w:rsidRDefault="00D7071B" w:rsidP="006735A7">
      <w:pPr>
        <w:spacing w:line="360" w:lineRule="auto"/>
        <w:ind w:firstLine="708"/>
        <w:jc w:val="both"/>
        <w:rPr>
          <w:lang w:val="es-ES_tradnl"/>
        </w:rPr>
      </w:pPr>
    </w:p>
    <w:p w14:paraId="29C4C807" w14:textId="77777777" w:rsidR="00D7071B" w:rsidRPr="00EE3D94" w:rsidRDefault="00D7071B" w:rsidP="006735A7">
      <w:pPr>
        <w:spacing w:line="360" w:lineRule="auto"/>
        <w:ind w:firstLine="708"/>
        <w:jc w:val="both"/>
        <w:rPr>
          <w:lang w:val="es-ES_tradnl"/>
        </w:rPr>
      </w:pPr>
    </w:p>
    <w:p w14:paraId="68AEBFA6" w14:textId="2B9EC81A" w:rsidR="00E3089D" w:rsidRPr="00E43AA5" w:rsidRDefault="00E3089D" w:rsidP="00E75702">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lastRenderedPageBreak/>
        <w:t xml:space="preserve">La rendición de cuentas en el </w:t>
      </w:r>
      <w:r w:rsidR="00D25280" w:rsidRPr="00E43AA5">
        <w:rPr>
          <w:rFonts w:ascii="Arial" w:eastAsia="Times New Roman" w:hAnsi="Arial" w:cs="Arial"/>
          <w:b/>
          <w:bCs/>
          <w:color w:val="auto"/>
          <w:bdr w:val="none" w:sz="0" w:space="0" w:color="auto"/>
          <w:lang w:val="es-MX" w:eastAsia="en-US"/>
        </w:rPr>
        <w:t>Poder Legislativo</w:t>
      </w:r>
    </w:p>
    <w:p w14:paraId="12FB3D24" w14:textId="19B57CEA" w:rsidR="00E3089D"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La rendición de cuentas implica una lógica de control del desempeño a partir de la </w:t>
      </w:r>
      <w:r w:rsidR="00AE3727" w:rsidRPr="00EE3D94">
        <w:rPr>
          <w:rFonts w:hAnsi="Times New Roman" w:cs="Times New Roman"/>
        </w:rPr>
        <w:t>evaluación</w:t>
      </w:r>
      <w:r w:rsidRPr="00EE3D94">
        <w:rPr>
          <w:rFonts w:hAnsi="Times New Roman" w:cs="Times New Roman"/>
        </w:rPr>
        <w:t xml:space="preserve"> previa. Tal desempeño </w:t>
      </w:r>
      <w:r w:rsidR="00D25280" w:rsidRPr="00EE3D94">
        <w:rPr>
          <w:rFonts w:hAnsi="Times New Roman" w:cs="Times New Roman"/>
        </w:rPr>
        <w:t>est</w:t>
      </w:r>
      <w:r w:rsidR="00D25280">
        <w:rPr>
          <w:rFonts w:hAnsi="Times New Roman" w:cs="Times New Roman"/>
        </w:rPr>
        <w:t>á</w:t>
      </w:r>
      <w:r w:rsidR="00D25280" w:rsidRPr="00EE3D94">
        <w:rPr>
          <w:rFonts w:hAnsi="Times New Roman" w:cs="Times New Roman"/>
        </w:rPr>
        <w:t xml:space="preserve"> </w:t>
      </w:r>
      <w:r w:rsidRPr="00EE3D94">
        <w:rPr>
          <w:rFonts w:hAnsi="Times New Roman" w:cs="Times New Roman"/>
        </w:rPr>
        <w:t xml:space="preserve">investido de elementos </w:t>
      </w:r>
      <w:r w:rsidR="00D25280">
        <w:rPr>
          <w:rFonts w:hAnsi="Times New Roman" w:cs="Times New Roman"/>
        </w:rPr>
        <w:t>en los que</w:t>
      </w:r>
      <w:r w:rsidR="00D25280" w:rsidRPr="00EE3D94">
        <w:rPr>
          <w:rFonts w:hAnsi="Times New Roman" w:cs="Times New Roman"/>
        </w:rPr>
        <w:t xml:space="preserve"> </w:t>
      </w:r>
      <w:r w:rsidRPr="00EE3D94">
        <w:rPr>
          <w:rFonts w:hAnsi="Times New Roman" w:cs="Times New Roman"/>
        </w:rPr>
        <w:t xml:space="preserve">se garantiza la transparencia, el acceso a la información, la responsabilidad de quien ejerce la función </w:t>
      </w:r>
      <w:r w:rsidR="003D53D0" w:rsidRPr="00EE3D94">
        <w:rPr>
          <w:rFonts w:hAnsi="Times New Roman" w:cs="Times New Roman"/>
        </w:rPr>
        <w:t xml:space="preserve">pública </w:t>
      </w:r>
      <w:r w:rsidRPr="00EE3D94">
        <w:rPr>
          <w:rFonts w:hAnsi="Times New Roman" w:cs="Times New Roman"/>
        </w:rPr>
        <w:t>y la sanción en caso de acciones incorr</w:t>
      </w:r>
      <w:r w:rsidR="003D53D0" w:rsidRPr="00EE3D94">
        <w:rPr>
          <w:rFonts w:hAnsi="Times New Roman" w:cs="Times New Roman"/>
        </w:rPr>
        <w:t>ectas en la decisión</w:t>
      </w:r>
      <w:r w:rsidRPr="00EE3D94">
        <w:rPr>
          <w:rFonts w:hAnsi="Times New Roman" w:cs="Times New Roman"/>
        </w:rPr>
        <w:t>.</w:t>
      </w:r>
      <w:r w:rsidRPr="00EE3D94">
        <w:rPr>
          <w:rStyle w:val="Refdenotaalpie"/>
          <w:rFonts w:hAnsi="Times New Roman" w:cs="Times New Roman"/>
        </w:rPr>
        <w:footnoteReference w:id="3"/>
      </w:r>
    </w:p>
    <w:p w14:paraId="4B654EE4" w14:textId="7D3A7F18" w:rsidR="00E3089D" w:rsidRDefault="00E3089D" w:rsidP="0097789A">
      <w:pPr>
        <w:pStyle w:val="Cuerpo"/>
        <w:spacing w:before="120" w:after="120" w:line="360" w:lineRule="auto"/>
        <w:jc w:val="both"/>
        <w:rPr>
          <w:rFonts w:hAnsi="Times New Roman" w:cs="Times New Roman"/>
        </w:rPr>
      </w:pPr>
      <w:r w:rsidRPr="00EE3D94">
        <w:rPr>
          <w:rFonts w:hAnsi="Times New Roman" w:cs="Times New Roman"/>
        </w:rPr>
        <w:t>En el Poder Legislativo, la rendición de cuentas es un tanto difusa en la medida en la que se puede identificar desde distintos ámbitos. Analíticamente</w:t>
      </w:r>
      <w:r w:rsidR="00D25280">
        <w:rPr>
          <w:rFonts w:hAnsi="Times New Roman" w:cs="Times New Roman"/>
        </w:rPr>
        <w:t>,</w:t>
      </w:r>
      <w:r w:rsidRPr="00EE3D94">
        <w:rPr>
          <w:rFonts w:hAnsi="Times New Roman" w:cs="Times New Roman"/>
        </w:rPr>
        <w:t xml:space="preserve"> O</w:t>
      </w:r>
      <w:r w:rsidR="00B14D16">
        <w:rPr>
          <w:rFonts w:hAnsi="Times New Roman" w:cs="Times New Roman"/>
        </w:rPr>
        <w:t>’</w:t>
      </w:r>
      <w:r w:rsidRPr="00EE3D94">
        <w:rPr>
          <w:rFonts w:hAnsi="Times New Roman" w:cs="Times New Roman"/>
        </w:rPr>
        <w:t>Donnell (1998</w:t>
      </w:r>
      <w:r w:rsidR="003D53D0" w:rsidRPr="00EE3D94">
        <w:rPr>
          <w:rFonts w:hAnsi="Times New Roman" w:cs="Times New Roman"/>
        </w:rPr>
        <w:t xml:space="preserve">) </w:t>
      </w:r>
      <w:r w:rsidR="00517790" w:rsidRPr="00EE3D94">
        <w:rPr>
          <w:rFonts w:hAnsi="Times New Roman" w:cs="Times New Roman"/>
        </w:rPr>
        <w:t xml:space="preserve">incluye </w:t>
      </w:r>
      <w:r w:rsidRPr="00EE3D94">
        <w:rPr>
          <w:rFonts w:hAnsi="Times New Roman" w:cs="Times New Roman"/>
        </w:rPr>
        <w:t xml:space="preserve">dos tipos de rendición de cuentas: la horizontal y la vertical. La primera consiste en la existencia de agencias estatales con autoridad legal, encargadas de vigilar y sancionar el desempeño y el uso adecuado de los recursos por parte de los funcionarios públicos y de las instituciones del Estado. La rendición de cuentas horizontal </w:t>
      </w:r>
      <w:r w:rsidR="009E422A" w:rsidRPr="00EE3D94">
        <w:rPr>
          <w:rFonts w:hAnsi="Times New Roman" w:cs="Times New Roman"/>
        </w:rPr>
        <w:t xml:space="preserve">es un instrumento que coadyuva a </w:t>
      </w:r>
      <w:r w:rsidRPr="00EE3D94">
        <w:rPr>
          <w:rFonts w:hAnsi="Times New Roman" w:cs="Times New Roman"/>
        </w:rPr>
        <w:t>somete</w:t>
      </w:r>
      <w:r w:rsidR="00D25280">
        <w:rPr>
          <w:rFonts w:hAnsi="Times New Roman" w:cs="Times New Roman"/>
        </w:rPr>
        <w:t>r</w:t>
      </w:r>
      <w:r w:rsidRPr="00EE3D94">
        <w:rPr>
          <w:rFonts w:hAnsi="Times New Roman" w:cs="Times New Roman"/>
        </w:rPr>
        <w:t xml:space="preserve"> al Estado en su conjunto </w:t>
      </w:r>
      <w:r w:rsidR="00D13B4D" w:rsidRPr="00EE3D94">
        <w:rPr>
          <w:rFonts w:hAnsi="Times New Roman" w:cs="Times New Roman"/>
        </w:rPr>
        <w:t>en la medida en la</w:t>
      </w:r>
      <w:r w:rsidRPr="00EE3D94">
        <w:rPr>
          <w:rFonts w:hAnsi="Times New Roman" w:cs="Times New Roman"/>
        </w:rPr>
        <w:t xml:space="preserve"> que “nadie es dueño de la autoridad, esta es prestada por la ciudadanía mediante elecciones competitivas” (O</w:t>
      </w:r>
      <w:r w:rsidR="00B14D16">
        <w:rPr>
          <w:rFonts w:hAnsi="Times New Roman" w:cs="Times New Roman"/>
        </w:rPr>
        <w:t>’</w:t>
      </w:r>
      <w:r w:rsidRPr="00EE3D94">
        <w:rPr>
          <w:rFonts w:hAnsi="Times New Roman" w:cs="Times New Roman"/>
        </w:rPr>
        <w:t>Donnell, 2007, 37</w:t>
      </w:r>
      <w:r w:rsidR="00D25280" w:rsidRPr="00EE3D94">
        <w:rPr>
          <w:rFonts w:hAnsi="Times New Roman" w:cs="Times New Roman"/>
        </w:rPr>
        <w:t>)</w:t>
      </w:r>
      <w:r w:rsidR="00D25280">
        <w:rPr>
          <w:rFonts w:hAnsi="Times New Roman" w:cs="Times New Roman"/>
        </w:rPr>
        <w:t>.</w:t>
      </w:r>
      <w:r w:rsidR="00D25280" w:rsidRPr="00EE3D94">
        <w:rPr>
          <w:rFonts w:hAnsi="Times New Roman" w:cs="Times New Roman"/>
        </w:rPr>
        <w:t xml:space="preserve"> </w:t>
      </w:r>
      <w:r w:rsidR="00D25280">
        <w:rPr>
          <w:rFonts w:hAnsi="Times New Roman" w:cs="Times New Roman"/>
        </w:rPr>
        <w:t>D</w:t>
      </w:r>
      <w:r w:rsidR="00D25280" w:rsidRPr="00EE3D94">
        <w:rPr>
          <w:rFonts w:hAnsi="Times New Roman" w:cs="Times New Roman"/>
        </w:rPr>
        <w:t xml:space="preserve">e </w:t>
      </w:r>
      <w:r w:rsidRPr="00EE3D94">
        <w:rPr>
          <w:rFonts w:hAnsi="Times New Roman" w:cs="Times New Roman"/>
        </w:rPr>
        <w:t>esta forma, los mecanismos que operan este tipo de rendición de cuentas se traducen en sistemas de pesos y contrapesos propios de los sistemas presidenciales</w:t>
      </w:r>
      <w:r w:rsidR="006C494B" w:rsidRPr="00EE3D94">
        <w:rPr>
          <w:rFonts w:hAnsi="Times New Roman" w:cs="Times New Roman"/>
        </w:rPr>
        <w:t xml:space="preserve"> como se resume </w:t>
      </w:r>
      <w:r w:rsidR="00D13B4D" w:rsidRPr="00EE3D94">
        <w:rPr>
          <w:rFonts w:hAnsi="Times New Roman" w:cs="Times New Roman"/>
        </w:rPr>
        <w:t xml:space="preserve">en </w:t>
      </w:r>
      <w:r w:rsidR="0097789A">
        <w:rPr>
          <w:rFonts w:hAnsi="Times New Roman" w:cs="Times New Roman"/>
        </w:rPr>
        <w:t xml:space="preserve"> la tabla</w:t>
      </w:r>
      <w:r w:rsidR="007E2AD3">
        <w:rPr>
          <w:rFonts w:hAnsi="Times New Roman" w:cs="Times New Roman"/>
        </w:rPr>
        <w:t xml:space="preserve"> </w:t>
      </w:r>
      <w:r w:rsidR="00D13B4D" w:rsidRPr="00EE3D94">
        <w:rPr>
          <w:rFonts w:hAnsi="Times New Roman" w:cs="Times New Roman"/>
        </w:rPr>
        <w:t>1</w:t>
      </w:r>
      <w:r w:rsidRPr="00EE3D94">
        <w:rPr>
          <w:rFonts w:hAnsi="Times New Roman" w:cs="Times New Roman"/>
        </w:rPr>
        <w:t xml:space="preserve">. </w:t>
      </w:r>
    </w:p>
    <w:p w14:paraId="482AB1A8" w14:textId="28EE5047" w:rsidR="00D7071B" w:rsidRDefault="00D7071B" w:rsidP="0097789A">
      <w:pPr>
        <w:pStyle w:val="Cuerpo"/>
        <w:spacing w:before="120" w:after="120" w:line="360" w:lineRule="auto"/>
        <w:jc w:val="both"/>
        <w:rPr>
          <w:rFonts w:hAnsi="Times New Roman" w:cs="Times New Roman"/>
        </w:rPr>
      </w:pPr>
    </w:p>
    <w:p w14:paraId="598A69E4" w14:textId="2E0D2F37" w:rsidR="00D7071B" w:rsidRDefault="00D7071B" w:rsidP="0097789A">
      <w:pPr>
        <w:pStyle w:val="Cuerpo"/>
        <w:spacing w:before="120" w:after="120" w:line="360" w:lineRule="auto"/>
        <w:jc w:val="both"/>
        <w:rPr>
          <w:rFonts w:hAnsi="Times New Roman" w:cs="Times New Roman"/>
        </w:rPr>
      </w:pPr>
    </w:p>
    <w:p w14:paraId="4AD90D39" w14:textId="03DD1F0C" w:rsidR="00D7071B" w:rsidRDefault="00D7071B" w:rsidP="0097789A">
      <w:pPr>
        <w:pStyle w:val="Cuerpo"/>
        <w:spacing w:before="120" w:after="120" w:line="360" w:lineRule="auto"/>
        <w:jc w:val="both"/>
        <w:rPr>
          <w:rFonts w:hAnsi="Times New Roman" w:cs="Times New Roman"/>
        </w:rPr>
      </w:pPr>
    </w:p>
    <w:p w14:paraId="54FCD2F2" w14:textId="0235619D" w:rsidR="00D7071B" w:rsidRDefault="00D7071B" w:rsidP="0097789A">
      <w:pPr>
        <w:pStyle w:val="Cuerpo"/>
        <w:spacing w:before="120" w:after="120" w:line="360" w:lineRule="auto"/>
        <w:jc w:val="both"/>
        <w:rPr>
          <w:rFonts w:hAnsi="Times New Roman" w:cs="Times New Roman"/>
        </w:rPr>
      </w:pPr>
    </w:p>
    <w:p w14:paraId="54EE7364" w14:textId="5ACD9560" w:rsidR="00D7071B" w:rsidRDefault="00D7071B" w:rsidP="0097789A">
      <w:pPr>
        <w:pStyle w:val="Cuerpo"/>
        <w:spacing w:before="120" w:after="120" w:line="360" w:lineRule="auto"/>
        <w:jc w:val="both"/>
        <w:rPr>
          <w:rFonts w:hAnsi="Times New Roman" w:cs="Times New Roman"/>
        </w:rPr>
      </w:pPr>
    </w:p>
    <w:p w14:paraId="1BE870C0" w14:textId="3F3A264E" w:rsidR="00D7071B" w:rsidRDefault="00D7071B" w:rsidP="0097789A">
      <w:pPr>
        <w:pStyle w:val="Cuerpo"/>
        <w:spacing w:before="120" w:after="120" w:line="360" w:lineRule="auto"/>
        <w:jc w:val="both"/>
        <w:rPr>
          <w:rFonts w:hAnsi="Times New Roman" w:cs="Times New Roman"/>
        </w:rPr>
      </w:pPr>
    </w:p>
    <w:p w14:paraId="34DC4CC9" w14:textId="77777777" w:rsidR="00D7071B" w:rsidRDefault="00D7071B" w:rsidP="0097789A">
      <w:pPr>
        <w:pStyle w:val="Cuerpo"/>
        <w:spacing w:before="120" w:after="120" w:line="360" w:lineRule="auto"/>
        <w:jc w:val="both"/>
        <w:rPr>
          <w:rFonts w:hAnsi="Times New Roman" w:cs="Times New Roman"/>
        </w:rPr>
      </w:pPr>
    </w:p>
    <w:p w14:paraId="66E123A0" w14:textId="66208EB5" w:rsidR="00121180" w:rsidRPr="00EE3D94" w:rsidRDefault="00121180" w:rsidP="00D7071B">
      <w:pPr>
        <w:pStyle w:val="Cuerpo"/>
        <w:spacing w:before="120" w:after="120" w:line="360" w:lineRule="auto"/>
        <w:jc w:val="center"/>
        <w:rPr>
          <w:rFonts w:hAnsi="Times New Roman" w:cs="Times New Roman"/>
        </w:rPr>
      </w:pPr>
      <w:r w:rsidRPr="001F4C4A">
        <w:rPr>
          <w:rFonts w:hAnsi="Times New Roman" w:cs="Times New Roman"/>
          <w:b/>
        </w:rPr>
        <w:lastRenderedPageBreak/>
        <w:t>Tabla</w:t>
      </w:r>
      <w:r w:rsidRPr="001F4C4A">
        <w:rPr>
          <w:rFonts w:hAnsi="Times New Roman" w:cs="Times New Roman"/>
        </w:rPr>
        <w:t xml:space="preserve"> </w:t>
      </w:r>
      <w:r w:rsidRPr="001F4C4A">
        <w:rPr>
          <w:rFonts w:hAnsi="Times New Roman" w:cs="Times New Roman"/>
          <w:b/>
        </w:rPr>
        <w:t>1</w:t>
      </w:r>
      <w:r w:rsidRPr="001F4C4A">
        <w:rPr>
          <w:rFonts w:hAnsi="Times New Roman" w:cs="Times New Roman"/>
        </w:rPr>
        <w:t>. Rendición de cuentas y Poder Legislativo</w:t>
      </w:r>
    </w:p>
    <w:tbl>
      <w:tblPr>
        <w:tblStyle w:val="TableNormal"/>
        <w:tblW w:w="89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0"/>
      </w:tblGrid>
      <w:tr w:rsidR="00557BCD" w:rsidRPr="00EE3D94" w14:paraId="120E7BE1" w14:textId="77777777" w:rsidTr="00D7071B">
        <w:trPr>
          <w:trHeight w:val="2929"/>
          <w:jc w:val="center"/>
        </w:trPr>
        <w:tc>
          <w:tcPr>
            <w:tcW w:w="8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83777" w14:textId="4DB7666E" w:rsidR="00557BCD" w:rsidRPr="00EE3D94" w:rsidRDefault="00557BCD" w:rsidP="00A35727">
            <w:pPr>
              <w:pStyle w:val="Cuerpo"/>
              <w:jc w:val="both"/>
              <w:rPr>
                <w:rFonts w:hAnsi="Times New Roman" w:cs="Times New Roman"/>
              </w:rPr>
            </w:pPr>
            <w:r w:rsidRPr="00EE3D94">
              <w:rPr>
                <w:rFonts w:hAnsi="Times New Roman" w:cs="Times New Roman"/>
                <w:noProof/>
                <w:color w:val="auto"/>
                <w:bdr w:val="none" w:sz="0" w:space="0" w:color="auto"/>
                <w:lang w:val="es-ES" w:eastAsia="es-ES"/>
              </w:rPr>
              <mc:AlternateContent>
                <mc:Choice Requires="wps">
                  <w:drawing>
                    <wp:anchor distT="0" distB="0" distL="114300" distR="114300" simplePos="0" relativeHeight="251662336" behindDoc="0" locked="0" layoutInCell="1" allowOverlap="1" wp14:anchorId="20B7E86A" wp14:editId="21C6AE09">
                      <wp:simplePos x="0" y="0"/>
                      <wp:positionH relativeFrom="column">
                        <wp:posOffset>840723</wp:posOffset>
                      </wp:positionH>
                      <wp:positionV relativeFrom="paragraph">
                        <wp:posOffset>-9010</wp:posOffset>
                      </wp:positionV>
                      <wp:extent cx="228600" cy="512805"/>
                      <wp:effectExtent l="38100" t="0" r="19050" b="20955"/>
                      <wp:wrapNone/>
                      <wp:docPr id="1" name="1 Abrir llave"/>
                      <wp:cNvGraphicFramePr/>
                      <a:graphic xmlns:a="http://schemas.openxmlformats.org/drawingml/2006/main">
                        <a:graphicData uri="http://schemas.microsoft.com/office/word/2010/wordprocessingShape">
                          <wps:wsp>
                            <wps:cNvSpPr/>
                            <wps:spPr>
                              <a:xfrm>
                                <a:off x="0" y="0"/>
                                <a:ext cx="228600" cy="51280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0EFC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6" type="#_x0000_t87" style="position:absolute;margin-left:66.2pt;margin-top:-.7pt;width:18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" adj="802" strokecolor="#5b9bd5 [3204]" strokeweight=".5pt">
                      <v:stroke joinstyle="miter"/>
                    </v:shape>
                  </w:pict>
                </mc:Fallback>
              </mc:AlternateContent>
            </w:r>
            <w:r w:rsidRPr="00EE3D94">
              <w:rPr>
                <w:rFonts w:hAnsi="Times New Roman" w:cs="Times New Roman"/>
              </w:rPr>
              <w:t>Horizontal                 - Balance  (sistemas de control y distribución de poder)</w:t>
            </w:r>
            <w:r w:rsidR="0097789A">
              <w:rPr>
                <w:rFonts w:hAnsi="Times New Roman" w:cs="Times New Roman"/>
              </w:rPr>
              <w:t>.</w:t>
            </w:r>
          </w:p>
          <w:p w14:paraId="4FF4B54F" w14:textId="1C2A2B94" w:rsidR="00557BCD" w:rsidRPr="00EE3D94" w:rsidRDefault="00557BCD" w:rsidP="00A35727">
            <w:pPr>
              <w:pStyle w:val="Cuerpo"/>
              <w:jc w:val="both"/>
              <w:rPr>
                <w:rFonts w:hAnsi="Times New Roman" w:cs="Times New Roman"/>
              </w:rPr>
            </w:pPr>
          </w:p>
          <w:p w14:paraId="79DC72CF" w14:textId="6BE138D9" w:rsidR="00557BCD" w:rsidRPr="00EE3D94" w:rsidRDefault="00557BCD" w:rsidP="00A35727">
            <w:pPr>
              <w:pStyle w:val="Cuerpo"/>
              <w:jc w:val="both"/>
              <w:rPr>
                <w:rFonts w:hAnsi="Times New Roman" w:cs="Times New Roman"/>
              </w:rPr>
            </w:pPr>
            <w:r w:rsidRPr="00EE3D94">
              <w:rPr>
                <w:rFonts w:hAnsi="Times New Roman" w:cs="Times New Roman"/>
              </w:rPr>
              <w:t xml:space="preserve"> (agente)                   -  Asignada (sistemas de fiscalización interno)</w:t>
            </w:r>
            <w:r w:rsidR="0097789A">
              <w:rPr>
                <w:rFonts w:hAnsi="Times New Roman" w:cs="Times New Roman"/>
              </w:rPr>
              <w:t>.</w:t>
            </w:r>
          </w:p>
          <w:p w14:paraId="192D6A9C" w14:textId="77777777" w:rsidR="00557BCD" w:rsidRPr="00EE3D94" w:rsidRDefault="00557BCD" w:rsidP="00A35727">
            <w:pPr>
              <w:pStyle w:val="Cuerpo"/>
              <w:jc w:val="both"/>
              <w:rPr>
                <w:rFonts w:hAnsi="Times New Roman" w:cs="Times New Roman"/>
              </w:rPr>
            </w:pPr>
          </w:p>
          <w:p w14:paraId="7E5F9C70" w14:textId="77777777" w:rsidR="00557BCD" w:rsidRPr="00EE3D94" w:rsidRDefault="00557BCD" w:rsidP="00A35727">
            <w:pPr>
              <w:pStyle w:val="Cuerpo"/>
              <w:jc w:val="both"/>
              <w:rPr>
                <w:rFonts w:hAnsi="Times New Roman" w:cs="Times New Roman"/>
              </w:rPr>
            </w:pPr>
          </w:p>
          <w:p w14:paraId="3501769D" w14:textId="77777777" w:rsidR="00557BCD" w:rsidRPr="00EE3D94" w:rsidRDefault="003E5C7C" w:rsidP="00A35727">
            <w:pPr>
              <w:pStyle w:val="Cuerpo"/>
              <w:jc w:val="both"/>
              <w:rPr>
                <w:rFonts w:hAnsi="Times New Roman" w:cs="Times New Roman"/>
              </w:rPr>
            </w:pPr>
            <w:r w:rsidRPr="00EE3D94">
              <w:rPr>
                <w:rFonts w:hAnsi="Times New Roman" w:cs="Times New Roman"/>
                <w:noProof/>
                <w:bdr w:val="none" w:sz="0" w:space="0" w:color="auto"/>
                <w:lang w:val="es-ES" w:eastAsia="es-ES"/>
              </w:rPr>
              <mc:AlternateContent>
                <mc:Choice Requires="wps">
                  <w:drawing>
                    <wp:anchor distT="0" distB="0" distL="114300" distR="114300" simplePos="0" relativeHeight="251663360" behindDoc="0" locked="0" layoutInCell="1" allowOverlap="1" wp14:anchorId="420696B8" wp14:editId="695F6191">
                      <wp:simplePos x="0" y="0"/>
                      <wp:positionH relativeFrom="column">
                        <wp:posOffset>840723</wp:posOffset>
                      </wp:positionH>
                      <wp:positionV relativeFrom="paragraph">
                        <wp:posOffset>8324</wp:posOffset>
                      </wp:positionV>
                      <wp:extent cx="228600" cy="895865"/>
                      <wp:effectExtent l="38100" t="0" r="19050" b="19050"/>
                      <wp:wrapNone/>
                      <wp:docPr id="2" name="2 Abrir llave"/>
                      <wp:cNvGraphicFramePr/>
                      <a:graphic xmlns:a="http://schemas.openxmlformats.org/drawingml/2006/main">
                        <a:graphicData uri="http://schemas.microsoft.com/office/word/2010/wordprocessingShape">
                          <wps:wsp>
                            <wps:cNvSpPr/>
                            <wps:spPr>
                              <a:xfrm>
                                <a:off x="0" y="0"/>
                                <a:ext cx="228600" cy="8958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4913" id="2 Abrir llave" o:spid="_x0000_s1026" type="#_x0000_t87" style="position:absolute;margin-left:66.2pt;margin-top:.65pt;width:18pt;height:7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" adj="459" strokecolor="#5b9bd5 [3204]" strokeweight=".5pt">
                      <v:stroke joinstyle="miter"/>
                    </v:shape>
                  </w:pict>
                </mc:Fallback>
              </mc:AlternateContent>
            </w:r>
            <w:r w:rsidR="00557BCD" w:rsidRPr="00EE3D94">
              <w:rPr>
                <w:rFonts w:hAnsi="Times New Roman" w:cs="Times New Roman"/>
              </w:rPr>
              <w:t xml:space="preserve">                                 - Electoral (con sistemas de reelección e información del  </w:t>
            </w:r>
          </w:p>
          <w:p w14:paraId="14303DAE" w14:textId="2FA60A5B" w:rsidR="00557BCD" w:rsidRPr="00EE3D94" w:rsidRDefault="00557BCD" w:rsidP="00A35727">
            <w:pPr>
              <w:pStyle w:val="Cuerpo"/>
              <w:jc w:val="both"/>
              <w:rPr>
                <w:rFonts w:hAnsi="Times New Roman" w:cs="Times New Roman"/>
              </w:rPr>
            </w:pPr>
            <w:r w:rsidRPr="00EE3D94">
              <w:rPr>
                <w:rFonts w:hAnsi="Times New Roman" w:cs="Times New Roman"/>
              </w:rPr>
              <w:t xml:space="preserve"> Vertical                       representante, ejerce control electoral)</w:t>
            </w:r>
            <w:r w:rsidR="0097789A">
              <w:rPr>
                <w:rFonts w:hAnsi="Times New Roman" w:cs="Times New Roman"/>
              </w:rPr>
              <w:t>.</w:t>
            </w:r>
          </w:p>
          <w:p w14:paraId="19BAEB1E" w14:textId="77777777" w:rsidR="00557BCD" w:rsidRPr="00EE3D94" w:rsidRDefault="00557BCD" w:rsidP="00A35727">
            <w:pPr>
              <w:pStyle w:val="Cuerpo"/>
              <w:jc w:val="both"/>
              <w:rPr>
                <w:rFonts w:hAnsi="Times New Roman" w:cs="Times New Roman"/>
              </w:rPr>
            </w:pPr>
          </w:p>
          <w:p w14:paraId="32DAAC80" w14:textId="77777777" w:rsidR="00557BCD" w:rsidRPr="00EE3D94" w:rsidRDefault="00557BCD" w:rsidP="00A35727">
            <w:pPr>
              <w:pStyle w:val="Cuerpo"/>
              <w:jc w:val="both"/>
              <w:rPr>
                <w:rFonts w:hAnsi="Times New Roman" w:cs="Times New Roman"/>
              </w:rPr>
            </w:pPr>
            <w:r w:rsidRPr="00EE3D94">
              <w:rPr>
                <w:rFonts w:hAnsi="Times New Roman" w:cs="Times New Roman"/>
              </w:rPr>
              <w:t xml:space="preserve"> (sujeto)                    - Social (sistemas de participación ciudadana vinculatoria y                   </w:t>
            </w:r>
          </w:p>
          <w:p w14:paraId="0A1872BC" w14:textId="77777777" w:rsidR="00557BCD" w:rsidRPr="00EE3D94" w:rsidRDefault="00557BCD" w:rsidP="00A35727">
            <w:pPr>
              <w:pStyle w:val="Cuerpo"/>
              <w:jc w:val="both"/>
              <w:rPr>
                <w:rFonts w:hAnsi="Times New Roman" w:cs="Times New Roman"/>
              </w:rPr>
            </w:pPr>
            <w:r w:rsidRPr="00EE3D94">
              <w:rPr>
                <w:rFonts w:hAnsi="Times New Roman" w:cs="Times New Roman"/>
              </w:rPr>
              <w:t xml:space="preserve">                                    acceso a la información de las decisiones legislativas,</w:t>
            </w:r>
          </w:p>
          <w:p w14:paraId="66F64DAB" w14:textId="56799D69" w:rsidR="00557BCD" w:rsidRPr="00EE3D94" w:rsidRDefault="00557BCD" w:rsidP="00A35727">
            <w:pPr>
              <w:pStyle w:val="Cuerpo"/>
              <w:jc w:val="both"/>
              <w:rPr>
                <w:rFonts w:hAnsi="Times New Roman" w:cs="Times New Roman"/>
              </w:rPr>
            </w:pPr>
            <w:r w:rsidRPr="00EE3D94">
              <w:rPr>
                <w:rFonts w:hAnsi="Times New Roman" w:cs="Times New Roman"/>
              </w:rPr>
              <w:t xml:space="preserve">                                    ejerce control legislativo)</w:t>
            </w:r>
            <w:r w:rsidR="0097789A">
              <w:rPr>
                <w:rFonts w:hAnsi="Times New Roman" w:cs="Times New Roman"/>
              </w:rPr>
              <w:t>.</w:t>
            </w:r>
          </w:p>
        </w:tc>
      </w:tr>
    </w:tbl>
    <w:p w14:paraId="50B329A6" w14:textId="77777777" w:rsidR="00557BCD" w:rsidRPr="00EE3D94" w:rsidRDefault="00557BCD" w:rsidP="00557BCD">
      <w:pPr>
        <w:pStyle w:val="Cuerpo"/>
        <w:jc w:val="both"/>
        <w:rPr>
          <w:rFonts w:hAnsi="Times New Roman" w:cs="Times New Roman"/>
          <w:sz w:val="20"/>
          <w:szCs w:val="20"/>
        </w:rPr>
      </w:pPr>
    </w:p>
    <w:p w14:paraId="0451A704" w14:textId="0E3294D5" w:rsidR="00557BCD" w:rsidRPr="006735A7" w:rsidRDefault="0097789A" w:rsidP="006735A7">
      <w:pPr>
        <w:pStyle w:val="Cuerpo"/>
        <w:jc w:val="center"/>
        <w:rPr>
          <w:rFonts w:hAnsi="Times New Roman" w:cs="Times New Roman"/>
          <w:szCs w:val="20"/>
        </w:rPr>
      </w:pPr>
      <w:r w:rsidRPr="006735A7">
        <w:rPr>
          <w:rFonts w:hAnsi="Times New Roman" w:cs="Times New Roman"/>
          <w:szCs w:val="20"/>
        </w:rPr>
        <w:t xml:space="preserve">Fuente: </w:t>
      </w:r>
      <w:r w:rsidR="00557BCD" w:rsidRPr="006735A7">
        <w:rPr>
          <w:rFonts w:hAnsi="Times New Roman" w:cs="Times New Roman"/>
          <w:szCs w:val="20"/>
        </w:rPr>
        <w:t>Elaboración propia, adaptado de Casar, Marván y Puente (2010</w:t>
      </w:r>
      <w:r w:rsidRPr="006735A7">
        <w:rPr>
          <w:rFonts w:hAnsi="Times New Roman" w:cs="Times New Roman"/>
          <w:szCs w:val="20"/>
        </w:rPr>
        <w:t xml:space="preserve">), </w:t>
      </w:r>
      <w:r w:rsidR="00557BCD" w:rsidRPr="006735A7">
        <w:rPr>
          <w:rFonts w:hAnsi="Times New Roman" w:cs="Times New Roman"/>
          <w:szCs w:val="20"/>
        </w:rPr>
        <w:t>O</w:t>
      </w:r>
      <w:r w:rsidR="00B14D16">
        <w:rPr>
          <w:rFonts w:hAnsi="Times New Roman" w:cs="Times New Roman"/>
        </w:rPr>
        <w:t>’</w:t>
      </w:r>
      <w:r w:rsidR="00557BCD" w:rsidRPr="006735A7">
        <w:rPr>
          <w:rFonts w:hAnsi="Times New Roman" w:cs="Times New Roman"/>
          <w:szCs w:val="20"/>
        </w:rPr>
        <w:t>Donnell (1998) y Cunill (</w:t>
      </w:r>
      <w:r w:rsidR="00B14D16">
        <w:rPr>
          <w:rFonts w:hAnsi="Times New Roman" w:cs="Times New Roman"/>
          <w:szCs w:val="20"/>
        </w:rPr>
        <w:t xml:space="preserve">abril de </w:t>
      </w:r>
      <w:r w:rsidR="00557BCD" w:rsidRPr="006735A7">
        <w:rPr>
          <w:rFonts w:hAnsi="Times New Roman" w:cs="Times New Roman"/>
          <w:szCs w:val="20"/>
        </w:rPr>
        <w:t>2007)</w:t>
      </w:r>
    </w:p>
    <w:p w14:paraId="4B80F289" w14:textId="77777777" w:rsidR="00482DD1" w:rsidRPr="00EE3D94" w:rsidRDefault="00482DD1" w:rsidP="00012A70">
      <w:pPr>
        <w:pStyle w:val="Cuerpo"/>
        <w:spacing w:before="120" w:after="120" w:line="360" w:lineRule="auto"/>
        <w:jc w:val="both"/>
        <w:rPr>
          <w:rFonts w:hAnsi="Times New Roman" w:cs="Times New Roman"/>
          <w:b/>
        </w:rPr>
      </w:pPr>
    </w:p>
    <w:p w14:paraId="71E6249C" w14:textId="4D42931D" w:rsidR="00E3089D" w:rsidRPr="00EE3D94" w:rsidRDefault="00901750" w:rsidP="006735A7">
      <w:pPr>
        <w:pStyle w:val="Cuerpo"/>
        <w:spacing w:before="120" w:after="120" w:line="360" w:lineRule="auto"/>
        <w:ind w:firstLine="708"/>
        <w:jc w:val="both"/>
        <w:rPr>
          <w:rFonts w:hAnsi="Times New Roman" w:cs="Times New Roman"/>
        </w:rPr>
      </w:pPr>
      <w:r w:rsidRPr="00EE3D94">
        <w:rPr>
          <w:rFonts w:hAnsi="Times New Roman" w:cs="Times New Roman"/>
        </w:rPr>
        <w:t>Para</w:t>
      </w:r>
      <w:r w:rsidR="00E3089D" w:rsidRPr="00EE3D94">
        <w:rPr>
          <w:rFonts w:hAnsi="Times New Roman" w:cs="Times New Roman"/>
        </w:rPr>
        <w:t xml:space="preserve"> O’Donnell (1998)</w:t>
      </w:r>
      <w:r w:rsidR="0097789A">
        <w:rPr>
          <w:rFonts w:hAnsi="Times New Roman" w:cs="Times New Roman"/>
        </w:rPr>
        <w:t>,</w:t>
      </w:r>
      <w:r w:rsidR="00E3089D" w:rsidRPr="00EE3D94">
        <w:rPr>
          <w:rFonts w:hAnsi="Times New Roman" w:cs="Times New Roman"/>
        </w:rPr>
        <w:t xml:space="preserve"> la rendición de cuentas horizontal en sistemas presidenciales </w:t>
      </w:r>
      <w:r w:rsidRPr="00EE3D94">
        <w:rPr>
          <w:rFonts w:hAnsi="Times New Roman" w:cs="Times New Roman"/>
        </w:rPr>
        <w:t xml:space="preserve">se divide a su vez en dos </w:t>
      </w:r>
      <w:r w:rsidR="00E3089D" w:rsidRPr="00EE3D94">
        <w:rPr>
          <w:rFonts w:hAnsi="Times New Roman" w:cs="Times New Roman"/>
        </w:rPr>
        <w:t>subtipos: de balance y asignada. La de balance evita la concentración de poder en alguno de los tres poderes (Ejecutivo, Legislativo y Judicial</w:t>
      </w:r>
      <w:r w:rsidR="0097789A" w:rsidRPr="00EE3D94">
        <w:rPr>
          <w:rFonts w:hAnsi="Times New Roman" w:cs="Times New Roman"/>
        </w:rPr>
        <w:t>)</w:t>
      </w:r>
      <w:r w:rsidR="0097789A">
        <w:rPr>
          <w:rFonts w:hAnsi="Times New Roman" w:cs="Times New Roman"/>
        </w:rPr>
        <w:t>;</w:t>
      </w:r>
      <w:r w:rsidR="0097789A" w:rsidRPr="00EE3D94">
        <w:rPr>
          <w:rFonts w:hAnsi="Times New Roman" w:cs="Times New Roman"/>
        </w:rPr>
        <w:t xml:space="preserve"> </w:t>
      </w:r>
      <w:r w:rsidR="0097789A">
        <w:rPr>
          <w:rFonts w:hAnsi="Times New Roman" w:cs="Times New Roman"/>
        </w:rPr>
        <w:t>c</w:t>
      </w:r>
      <w:r w:rsidR="0097789A" w:rsidRPr="00EE3D94">
        <w:rPr>
          <w:rFonts w:hAnsi="Times New Roman" w:cs="Times New Roman"/>
        </w:rPr>
        <w:t xml:space="preserve">ada </w:t>
      </w:r>
      <w:r w:rsidR="00E3089D" w:rsidRPr="00EE3D94">
        <w:rPr>
          <w:rFonts w:hAnsi="Times New Roman" w:cs="Times New Roman"/>
        </w:rPr>
        <w:t xml:space="preserve">institución reacciona cuando otro poder invade su jurisdicción (control institucional). El segundo subtipo identifica aquellas instituciones que vigilan y sancionan las acciones de otras organizaciones estatales, nacionales o municipales con la finalidad de evitar y prevenir el manejo ilegal de los recursos (control de los funcionarios públicos). </w:t>
      </w:r>
      <w:r w:rsidR="0097789A">
        <w:rPr>
          <w:rFonts w:hAnsi="Times New Roman" w:cs="Times New Roman"/>
        </w:rPr>
        <w:t>Dicho de otro modo</w:t>
      </w:r>
      <w:r w:rsidRPr="00EE3D94">
        <w:rPr>
          <w:rFonts w:hAnsi="Times New Roman" w:cs="Times New Roman"/>
        </w:rPr>
        <w:t>,</w:t>
      </w:r>
      <w:r w:rsidR="00E3089D" w:rsidRPr="00EE3D94">
        <w:rPr>
          <w:rFonts w:hAnsi="Times New Roman" w:cs="Times New Roman"/>
        </w:rPr>
        <w:t xml:space="preserve"> la rendición de cuentas horizontal funciona como inst</w:t>
      </w:r>
      <w:r w:rsidRPr="00EE3D94">
        <w:rPr>
          <w:rFonts w:hAnsi="Times New Roman" w:cs="Times New Roman"/>
        </w:rPr>
        <w:t>rumento de control, contrapeso</w:t>
      </w:r>
      <w:r w:rsidR="00E3089D" w:rsidRPr="00EE3D94">
        <w:rPr>
          <w:rFonts w:hAnsi="Times New Roman" w:cs="Times New Roman"/>
        </w:rPr>
        <w:t xml:space="preserve"> y distribución de poder entre el Ejecutivo y el Legislativo, así como el control de decisiones de los propios órganos de gobierno a través de los sistemas de fiscalización internos (auditorías, </w:t>
      </w:r>
      <w:r w:rsidR="00E3089D" w:rsidRPr="00EE3D94">
        <w:rPr>
          <w:rFonts w:hAnsi="Times New Roman" w:cs="Times New Roman"/>
          <w:i/>
        </w:rPr>
        <w:t>ombusman</w:t>
      </w:r>
      <w:r w:rsidR="00E3089D" w:rsidRPr="00EE3D94">
        <w:rPr>
          <w:rFonts w:hAnsi="Times New Roman" w:cs="Times New Roman"/>
        </w:rPr>
        <w:t>, etc.)</w:t>
      </w:r>
      <w:r w:rsidR="00300E0E" w:rsidRPr="00EE3D94">
        <w:rPr>
          <w:rFonts w:hAnsi="Times New Roman" w:cs="Times New Roman"/>
        </w:rPr>
        <w:t>,</w:t>
      </w:r>
      <w:r w:rsidR="00E3089D" w:rsidRPr="00EE3D94">
        <w:rPr>
          <w:rFonts w:hAnsi="Times New Roman" w:cs="Times New Roman"/>
        </w:rPr>
        <w:t xml:space="preserve"> (Casar, Marvan y Puente, 2010)</w:t>
      </w:r>
      <w:r w:rsidR="00300E0E" w:rsidRPr="00EE3D94">
        <w:rPr>
          <w:rFonts w:hAnsi="Times New Roman" w:cs="Times New Roman"/>
        </w:rPr>
        <w:t>.</w:t>
      </w:r>
      <w:r w:rsidR="00E3089D" w:rsidRPr="00EE3D94">
        <w:rPr>
          <w:rStyle w:val="Refdenotaalpie"/>
          <w:rFonts w:hAnsi="Times New Roman" w:cs="Times New Roman"/>
        </w:rPr>
        <w:footnoteReference w:id="4"/>
      </w:r>
      <w:r w:rsidR="00300E0E" w:rsidRPr="00EE3D94">
        <w:rPr>
          <w:rFonts w:hAnsi="Times New Roman" w:cs="Times New Roman"/>
        </w:rPr>
        <w:t xml:space="preserve"> </w:t>
      </w:r>
    </w:p>
    <w:p w14:paraId="22057D3D" w14:textId="072C6B25" w:rsidR="00144E2F" w:rsidRPr="00EE3D94" w:rsidRDefault="00144E2F" w:rsidP="006735A7">
      <w:pPr>
        <w:pStyle w:val="Cuerpo"/>
        <w:spacing w:before="120" w:after="120" w:line="360" w:lineRule="auto"/>
        <w:ind w:firstLine="708"/>
        <w:jc w:val="both"/>
        <w:rPr>
          <w:rFonts w:hAnsi="Times New Roman" w:cs="Times New Roman"/>
        </w:rPr>
      </w:pPr>
      <w:r w:rsidRPr="00EE3D94">
        <w:rPr>
          <w:rFonts w:hAnsi="Times New Roman" w:cs="Times New Roman"/>
        </w:rPr>
        <w:t>Sin embargo, tales instrumentos dependen del tipo de construcción del equilibrio institucional entre poderes. La región latinoamericana ha experimentado la caída paulatina de regímenes autoritarios por otros de tipo democráticos</w:t>
      </w:r>
      <w:r w:rsidR="0097789A">
        <w:rPr>
          <w:rFonts w:hAnsi="Times New Roman" w:cs="Times New Roman"/>
        </w:rPr>
        <w:t>.</w:t>
      </w:r>
      <w:r w:rsidR="0097789A" w:rsidRPr="00EE3D94">
        <w:rPr>
          <w:rFonts w:hAnsi="Times New Roman" w:cs="Times New Roman"/>
        </w:rPr>
        <w:t xml:space="preserve"> </w:t>
      </w:r>
      <w:r w:rsidR="0097789A">
        <w:rPr>
          <w:rFonts w:hAnsi="Times New Roman" w:cs="Times New Roman"/>
        </w:rPr>
        <w:t>E</w:t>
      </w:r>
      <w:r w:rsidR="0097789A" w:rsidRPr="00EE3D94">
        <w:rPr>
          <w:rFonts w:hAnsi="Times New Roman" w:cs="Times New Roman"/>
        </w:rPr>
        <w:t xml:space="preserve">n </w:t>
      </w:r>
      <w:r w:rsidRPr="00EE3D94">
        <w:rPr>
          <w:rFonts w:hAnsi="Times New Roman" w:cs="Times New Roman"/>
        </w:rPr>
        <w:t xml:space="preserve">este tránsito, se ha intentado modernizar y consolidar a los nuevos estados democráticos, sin embargo, lo que se observa </w:t>
      </w:r>
      <w:r w:rsidRPr="00EE3D94">
        <w:rPr>
          <w:rFonts w:hAnsi="Times New Roman" w:cs="Times New Roman"/>
        </w:rPr>
        <w:lastRenderedPageBreak/>
        <w:t>es una debilidad en sus diseños institucionales, derivados de las transformaciones de sus propios regímenes. Estas debilidades se intentaron fortalecer en América Latina con reformas constitucionales. De acuerdo con Gabriel Negretto</w:t>
      </w:r>
      <w:r w:rsidR="002C279A" w:rsidRPr="00EE3D94">
        <w:rPr>
          <w:rFonts w:hAnsi="Times New Roman" w:cs="Times New Roman"/>
        </w:rPr>
        <w:t xml:space="preserve"> (2009, pp.38-54)</w:t>
      </w:r>
      <w:r w:rsidR="0097789A">
        <w:rPr>
          <w:rFonts w:hAnsi="Times New Roman" w:cs="Times New Roman"/>
        </w:rPr>
        <w:t>,</w:t>
      </w:r>
      <w:r w:rsidRPr="00EE3D94">
        <w:rPr>
          <w:rFonts w:hAnsi="Times New Roman" w:cs="Times New Roman"/>
        </w:rPr>
        <w:t xml:space="preserve"> dos tendencias son las que marcan esta dinámica de cambios constitucionales de 1978 a 2011. El primero está constituido por países que generaron una nueva constitución</w:t>
      </w:r>
      <w:r w:rsidR="0097789A">
        <w:rPr>
          <w:rFonts w:hAnsi="Times New Roman" w:cs="Times New Roman"/>
        </w:rPr>
        <w:t>:</w:t>
      </w:r>
      <w:r w:rsidRPr="00EE3D94">
        <w:rPr>
          <w:rFonts w:hAnsi="Times New Roman" w:cs="Times New Roman"/>
        </w:rPr>
        <w:t xml:space="preserve"> Argentina, Brasil, Chile, Colombia, Ecuador, El Salvador, Guatemala, Honduras, Nicaragua, Paraguay, Perú, República Dominicana y Venezuela. Esta tendencia ha ido acompañada de diversos procesos que han dado paso a la sustitución de regímenes autoritario a regímenes democráticos</w:t>
      </w:r>
      <w:r w:rsidR="0097789A">
        <w:rPr>
          <w:rFonts w:hAnsi="Times New Roman" w:cs="Times New Roman"/>
        </w:rPr>
        <w:t>.</w:t>
      </w:r>
      <w:r w:rsidR="0097789A" w:rsidRPr="00EE3D94">
        <w:rPr>
          <w:rFonts w:hAnsi="Times New Roman" w:cs="Times New Roman"/>
        </w:rPr>
        <w:t xml:space="preserve"> </w:t>
      </w:r>
      <w:r w:rsidR="0097789A">
        <w:rPr>
          <w:rFonts w:hAnsi="Times New Roman" w:cs="Times New Roman"/>
        </w:rPr>
        <w:t>C</w:t>
      </w:r>
      <w:r w:rsidR="0097789A" w:rsidRPr="00EE3D94">
        <w:rPr>
          <w:rFonts w:hAnsi="Times New Roman" w:cs="Times New Roman"/>
        </w:rPr>
        <w:t xml:space="preserve">uando </w:t>
      </w:r>
      <w:r w:rsidRPr="00EE3D94">
        <w:rPr>
          <w:rFonts w:hAnsi="Times New Roman" w:cs="Times New Roman"/>
        </w:rPr>
        <w:t>el régimen autoritario saliente había reemplazado la constitución democrática anterior, el país carecía de experiencia democrática previa o</w:t>
      </w:r>
      <w:r w:rsidR="0097789A">
        <w:rPr>
          <w:rFonts w:hAnsi="Times New Roman" w:cs="Times New Roman"/>
        </w:rPr>
        <w:t>,</w:t>
      </w:r>
      <w:r w:rsidRPr="00EE3D94">
        <w:rPr>
          <w:rFonts w:hAnsi="Times New Roman" w:cs="Times New Roman"/>
        </w:rPr>
        <w:t xml:space="preserve"> bien</w:t>
      </w:r>
      <w:r w:rsidR="0097789A">
        <w:rPr>
          <w:rFonts w:hAnsi="Times New Roman" w:cs="Times New Roman"/>
        </w:rPr>
        <w:t>,</w:t>
      </w:r>
      <w:r w:rsidRPr="00EE3D94">
        <w:rPr>
          <w:rFonts w:hAnsi="Times New Roman" w:cs="Times New Roman"/>
        </w:rPr>
        <w:t xml:space="preserve"> la última constitución democrática había caído en desprestigio. La segunda tendencia es de países que optaron por reformas constitucionales profundas que modificaron sus sistemas políticos, electorales, judicia</w:t>
      </w:r>
      <w:r w:rsidR="002C279A" w:rsidRPr="00EE3D94">
        <w:rPr>
          <w:rFonts w:hAnsi="Times New Roman" w:cs="Times New Roman"/>
        </w:rPr>
        <w:t>les, y de rendición de cuentas</w:t>
      </w:r>
      <w:r w:rsidR="0097789A">
        <w:rPr>
          <w:rFonts w:hAnsi="Times New Roman" w:cs="Times New Roman"/>
        </w:rPr>
        <w:t>, como es el caso de</w:t>
      </w:r>
      <w:r w:rsidR="002C279A" w:rsidRPr="00EE3D94">
        <w:rPr>
          <w:rFonts w:hAnsi="Times New Roman" w:cs="Times New Roman"/>
        </w:rPr>
        <w:t xml:space="preserve"> </w:t>
      </w:r>
      <w:r w:rsidRPr="00EE3D94">
        <w:rPr>
          <w:rFonts w:hAnsi="Times New Roman" w:cs="Times New Roman"/>
        </w:rPr>
        <w:t>Costa Rica, México, Panamá y Uruguay.</w:t>
      </w:r>
    </w:p>
    <w:p w14:paraId="1738E62D" w14:textId="35326782" w:rsidR="00C819FB" w:rsidRPr="00EE3D94" w:rsidRDefault="0097789A" w:rsidP="00967963">
      <w:pPr>
        <w:tabs>
          <w:tab w:val="left" w:pos="540"/>
        </w:tabs>
        <w:spacing w:line="360" w:lineRule="auto"/>
        <w:jc w:val="both"/>
        <w:rPr>
          <w:lang w:val="es-ES_tradnl"/>
        </w:rPr>
      </w:pPr>
      <w:r>
        <w:rPr>
          <w:lang w:val="es-ES_tradnl"/>
        </w:rPr>
        <w:tab/>
      </w:r>
      <w:r w:rsidR="00C819FB" w:rsidRPr="00EE3D94">
        <w:rPr>
          <w:lang w:val="es-ES_tradnl"/>
        </w:rPr>
        <w:t>Negretto (2009</w:t>
      </w:r>
      <w:r w:rsidRPr="00EE3D94">
        <w:rPr>
          <w:lang w:val="es-ES_tradnl"/>
        </w:rPr>
        <w:t>)</w:t>
      </w:r>
      <w:r>
        <w:rPr>
          <w:lang w:val="es-ES_tradnl"/>
        </w:rPr>
        <w:t>,</w:t>
      </w:r>
      <w:r w:rsidRPr="00EE3D94">
        <w:rPr>
          <w:lang w:val="es-ES_tradnl"/>
        </w:rPr>
        <w:t xml:space="preserve"> </w:t>
      </w:r>
      <w:r w:rsidR="00C819FB" w:rsidRPr="00EE3D94">
        <w:rPr>
          <w:lang w:val="es-ES_tradnl"/>
        </w:rPr>
        <w:t>Payne, Zovatto, Carrillo y Allmand (2003)</w:t>
      </w:r>
      <w:r>
        <w:rPr>
          <w:lang w:val="es-ES_tradnl"/>
        </w:rPr>
        <w:t>,</w:t>
      </w:r>
      <w:r w:rsidR="00C819FB" w:rsidRPr="00EE3D94">
        <w:rPr>
          <w:lang w:val="es-ES_tradnl"/>
        </w:rPr>
        <w:t xml:space="preserve"> así como Shugart (2000) observaron la tend</w:t>
      </w:r>
      <w:r w:rsidR="00D5582F" w:rsidRPr="00EE3D94">
        <w:rPr>
          <w:lang w:val="es-ES_tradnl"/>
        </w:rPr>
        <w:t>encia de</w:t>
      </w:r>
      <w:r w:rsidR="002C279A" w:rsidRPr="00EE3D94">
        <w:rPr>
          <w:lang w:val="es-ES_tradnl"/>
        </w:rPr>
        <w:t xml:space="preserve"> dichas</w:t>
      </w:r>
      <w:r w:rsidR="00D5582F" w:rsidRPr="00EE3D94">
        <w:rPr>
          <w:lang w:val="es-ES_tradnl"/>
        </w:rPr>
        <w:t xml:space="preserve"> transformaciones en términos de equilibrio de poderes y</w:t>
      </w:r>
      <w:r w:rsidR="00C819FB" w:rsidRPr="00EE3D94">
        <w:rPr>
          <w:lang w:val="es-ES_tradnl"/>
        </w:rPr>
        <w:t xml:space="preserve"> rendición de cuentas horizon</w:t>
      </w:r>
      <w:r w:rsidR="00D5582F" w:rsidRPr="00EE3D94">
        <w:rPr>
          <w:lang w:val="es-ES_tradnl"/>
        </w:rPr>
        <w:t>tal en el diseño constitucional</w:t>
      </w:r>
      <w:r w:rsidR="00C819FB" w:rsidRPr="00EE3D94">
        <w:rPr>
          <w:lang w:val="es-ES_tradnl"/>
        </w:rPr>
        <w:t xml:space="preserve"> durante los procesos de cambio de régimen. En sus análisis</w:t>
      </w:r>
      <w:r>
        <w:rPr>
          <w:lang w:val="es-ES_tradnl"/>
        </w:rPr>
        <w:t>,</w:t>
      </w:r>
      <w:r w:rsidR="00C819FB" w:rsidRPr="00EE3D94">
        <w:rPr>
          <w:lang w:val="es-ES_tradnl"/>
        </w:rPr>
        <w:t xml:space="preserve"> </w:t>
      </w:r>
      <w:r>
        <w:rPr>
          <w:lang w:val="es-ES_tradnl"/>
        </w:rPr>
        <w:t>se pueden</w:t>
      </w:r>
      <w:r w:rsidRPr="00EE3D94">
        <w:rPr>
          <w:lang w:val="es-ES_tradnl"/>
        </w:rPr>
        <w:t xml:space="preserve"> </w:t>
      </w:r>
      <w:r w:rsidR="00C819FB" w:rsidRPr="00EE3D94">
        <w:rPr>
          <w:lang w:val="es-ES_tradnl"/>
        </w:rPr>
        <w:t xml:space="preserve">identificar tres fenómenos: </w:t>
      </w:r>
      <w:r w:rsidR="002903C5" w:rsidRPr="00EE3D94">
        <w:rPr>
          <w:lang w:val="es-ES_tradnl"/>
        </w:rPr>
        <w:t xml:space="preserve">1) </w:t>
      </w:r>
      <w:r w:rsidR="00C819FB" w:rsidRPr="00F84B32">
        <w:rPr>
          <w:lang w:val="es-ES_tradnl"/>
        </w:rPr>
        <w:t xml:space="preserve">la introducción de </w:t>
      </w:r>
      <w:r w:rsidR="00C819FB" w:rsidRPr="00F84B32">
        <w:rPr>
          <w:i/>
          <w:lang w:val="es-ES_tradnl"/>
        </w:rPr>
        <w:t>rasgos parlamentarios</w:t>
      </w:r>
      <w:r w:rsidR="00C819FB" w:rsidRPr="00F84B32">
        <w:rPr>
          <w:lang w:val="es-ES_tradnl"/>
        </w:rPr>
        <w:t xml:space="preserve"> en los sistemas presidenciales</w:t>
      </w:r>
      <w:r w:rsidR="00C819FB" w:rsidRPr="00EE3D94">
        <w:rPr>
          <w:lang w:val="es-ES_tradnl"/>
        </w:rPr>
        <w:t xml:space="preserve"> como la censura y destitución de ministros del gabinete por parte del Congreso, las facultades del presidente para disolver al </w:t>
      </w:r>
      <w:r>
        <w:rPr>
          <w:lang w:val="es-ES_tradnl"/>
        </w:rPr>
        <w:t>C</w:t>
      </w:r>
      <w:r w:rsidRPr="00EE3D94">
        <w:rPr>
          <w:lang w:val="es-ES_tradnl"/>
        </w:rPr>
        <w:t xml:space="preserve">ongreso </w:t>
      </w:r>
      <w:r w:rsidR="00C819FB" w:rsidRPr="00EE3D94">
        <w:rPr>
          <w:lang w:val="es-ES_tradnl"/>
        </w:rPr>
        <w:t xml:space="preserve">y la creación del cargo de jefe de gabinete, parcialmente responsable ante el poder legislativo (Argentina, Guatemala, Perú y Uruguay); 2) </w:t>
      </w:r>
      <w:r w:rsidR="00C819FB" w:rsidRPr="00F84B32">
        <w:rPr>
          <w:lang w:val="es-ES_tradnl"/>
        </w:rPr>
        <w:t xml:space="preserve">la </w:t>
      </w:r>
      <w:r w:rsidR="00C819FB" w:rsidRPr="00F84B32">
        <w:rPr>
          <w:i/>
          <w:lang w:val="es-ES_tradnl"/>
        </w:rPr>
        <w:t>restricción del poder presidencial</w:t>
      </w:r>
      <w:r w:rsidR="00C819FB" w:rsidRPr="00EE3D94">
        <w:rPr>
          <w:lang w:val="es-ES_tradnl"/>
        </w:rPr>
        <w:t xml:space="preserve"> para emitir decretos y fortalecer las capacidades del </w:t>
      </w:r>
      <w:r>
        <w:rPr>
          <w:lang w:val="es-ES_tradnl"/>
        </w:rPr>
        <w:t>P</w:t>
      </w:r>
      <w:r w:rsidRPr="00EE3D94">
        <w:rPr>
          <w:lang w:val="es-ES_tradnl"/>
        </w:rPr>
        <w:t xml:space="preserve">oder </w:t>
      </w:r>
      <w:r>
        <w:rPr>
          <w:lang w:val="es-ES_tradnl"/>
        </w:rPr>
        <w:t>L</w:t>
      </w:r>
      <w:r w:rsidRPr="00EE3D94">
        <w:rPr>
          <w:lang w:val="es-ES_tradnl"/>
        </w:rPr>
        <w:t xml:space="preserve">egislativo </w:t>
      </w:r>
      <w:r w:rsidR="00C819FB" w:rsidRPr="00EE3D94">
        <w:rPr>
          <w:lang w:val="es-ES_tradnl"/>
        </w:rPr>
        <w:t xml:space="preserve">mediante la modernización de sus sistemas de información y personal especializado, así como el reforzamiento de las comisiones legislativas y entidades auditoras (Chile, Colombia, Costa Rica) (Payne </w:t>
      </w:r>
      <w:r w:rsidR="00C819FB" w:rsidRPr="006735A7">
        <w:rPr>
          <w:i/>
          <w:lang w:val="es-ES_tradnl"/>
        </w:rPr>
        <w:t>et al.</w:t>
      </w:r>
      <w:r w:rsidR="00C819FB" w:rsidRPr="00EE3D94">
        <w:rPr>
          <w:lang w:val="es-ES_tradnl"/>
        </w:rPr>
        <w:t>, 2003)</w:t>
      </w:r>
      <w:r>
        <w:rPr>
          <w:lang w:val="es-ES_tradnl"/>
        </w:rPr>
        <w:t>;</w:t>
      </w:r>
      <w:r w:rsidR="00C819FB" w:rsidRPr="00EE3D94">
        <w:rPr>
          <w:lang w:val="es-ES_tradnl"/>
        </w:rPr>
        <w:t xml:space="preserve"> y 3) </w:t>
      </w:r>
      <w:r w:rsidR="00C819FB" w:rsidRPr="00F84B32">
        <w:rPr>
          <w:lang w:val="es-ES_tradnl"/>
        </w:rPr>
        <w:t xml:space="preserve">otorgamiento de </w:t>
      </w:r>
      <w:r w:rsidR="00C819FB" w:rsidRPr="00F84B32">
        <w:rPr>
          <w:i/>
          <w:lang w:val="es-ES_tradnl"/>
        </w:rPr>
        <w:t>facultades extraordinarias</w:t>
      </w:r>
      <w:r w:rsidR="00C819FB" w:rsidRPr="00F84B32">
        <w:rPr>
          <w:lang w:val="es-ES_tradnl"/>
        </w:rPr>
        <w:t xml:space="preserve"> a los ejecutivos como el poder de veto, el decreto sin restricción </w:t>
      </w:r>
      <w:r w:rsidR="00D5582F" w:rsidRPr="00F84B32">
        <w:rPr>
          <w:lang w:val="es-ES_tradnl"/>
        </w:rPr>
        <w:t>(</w:t>
      </w:r>
      <w:r w:rsidR="00C819FB" w:rsidRPr="00F84B32">
        <w:rPr>
          <w:lang w:val="es-ES_tradnl"/>
        </w:rPr>
        <w:t>Argentina, Brasil y Colombia</w:t>
      </w:r>
      <w:r w:rsidR="00D5582F" w:rsidRPr="00F84B32">
        <w:rPr>
          <w:lang w:val="es-ES_tradnl"/>
        </w:rPr>
        <w:t>)</w:t>
      </w:r>
      <w:r w:rsidR="00C819FB" w:rsidRPr="00F84B32">
        <w:rPr>
          <w:lang w:val="es-ES_tradnl"/>
        </w:rPr>
        <w:t>, el de política reservada</w:t>
      </w:r>
      <w:r w:rsidR="00D5582F" w:rsidRPr="00F84B32">
        <w:rPr>
          <w:lang w:val="es-ES_tradnl"/>
        </w:rPr>
        <w:t xml:space="preserve"> (</w:t>
      </w:r>
      <w:r w:rsidR="00C819FB" w:rsidRPr="00EE3D94">
        <w:rPr>
          <w:lang w:val="es-ES_tradnl"/>
        </w:rPr>
        <w:t>Uruguay</w:t>
      </w:r>
      <w:r w:rsidR="00D5582F" w:rsidRPr="00EE3D94">
        <w:rPr>
          <w:lang w:val="es-ES_tradnl"/>
        </w:rPr>
        <w:t xml:space="preserve">), </w:t>
      </w:r>
      <w:r w:rsidR="00C819FB" w:rsidRPr="00EE3D94">
        <w:rPr>
          <w:lang w:val="es-ES_tradnl"/>
        </w:rPr>
        <w:t>iniciativa presupuestaria extraordinaria</w:t>
      </w:r>
      <w:r w:rsidR="00D5582F" w:rsidRPr="00EE3D94">
        <w:rPr>
          <w:lang w:val="es-ES_tradnl"/>
        </w:rPr>
        <w:t xml:space="preserve"> donde</w:t>
      </w:r>
      <w:r w:rsidR="00C819FB" w:rsidRPr="00EE3D94">
        <w:rPr>
          <w:lang w:val="es-ES_tradnl"/>
        </w:rPr>
        <w:t xml:space="preserve"> se restringe la participación del Congreso en la modificación del mismo </w:t>
      </w:r>
      <w:r w:rsidR="00D5582F" w:rsidRPr="00EE3D94">
        <w:rPr>
          <w:lang w:val="es-ES_tradnl"/>
        </w:rPr>
        <w:t>(</w:t>
      </w:r>
      <w:r w:rsidR="00C819FB" w:rsidRPr="00EE3D94">
        <w:rPr>
          <w:lang w:val="es-ES_tradnl"/>
        </w:rPr>
        <w:t>Brasil, Chile, Colombia y Perú</w:t>
      </w:r>
      <w:r w:rsidR="00D5582F" w:rsidRPr="00EE3D94">
        <w:rPr>
          <w:lang w:val="es-ES_tradnl"/>
        </w:rPr>
        <w:t>)</w:t>
      </w:r>
      <w:r>
        <w:rPr>
          <w:lang w:val="es-ES_tradnl"/>
        </w:rPr>
        <w:t>,</w:t>
      </w:r>
      <w:r w:rsidR="00C819FB" w:rsidRPr="00EE3D94">
        <w:rPr>
          <w:lang w:val="es-ES_tradnl"/>
        </w:rPr>
        <w:t xml:space="preserve"> </w:t>
      </w:r>
      <w:r w:rsidR="00D5582F" w:rsidRPr="00F84B32">
        <w:rPr>
          <w:lang w:val="es-ES_tradnl"/>
        </w:rPr>
        <w:t xml:space="preserve">el </w:t>
      </w:r>
      <w:r w:rsidR="00C819FB" w:rsidRPr="00F84B32">
        <w:rPr>
          <w:lang w:val="es-ES_tradnl"/>
        </w:rPr>
        <w:t xml:space="preserve">referéndum que no requiere </w:t>
      </w:r>
      <w:r w:rsidR="00C819FB" w:rsidRPr="00F84B32">
        <w:rPr>
          <w:lang w:val="es-ES_tradnl"/>
        </w:rPr>
        <w:lastRenderedPageBreak/>
        <w:t>del consentimiento del Congreso para convocarlo</w:t>
      </w:r>
      <w:r w:rsidR="00C819FB" w:rsidRPr="00EE3D94">
        <w:rPr>
          <w:lang w:val="es-ES_tradnl"/>
        </w:rPr>
        <w:t xml:space="preserve"> (Ecuador y</w:t>
      </w:r>
      <w:r>
        <w:rPr>
          <w:lang w:val="es-ES_tradnl"/>
        </w:rPr>
        <w:t>,</w:t>
      </w:r>
      <w:r w:rsidR="00C819FB" w:rsidRPr="00EE3D94">
        <w:rPr>
          <w:lang w:val="es-ES_tradnl"/>
        </w:rPr>
        <w:t xml:space="preserve"> en </w:t>
      </w:r>
      <w:r w:rsidR="00D5582F" w:rsidRPr="00EE3D94">
        <w:rPr>
          <w:lang w:val="es-ES_tradnl"/>
        </w:rPr>
        <w:t>algún momento</w:t>
      </w:r>
      <w:r>
        <w:rPr>
          <w:lang w:val="es-ES_tradnl"/>
        </w:rPr>
        <w:t>,</w:t>
      </w:r>
      <w:r w:rsidR="00D5582F" w:rsidRPr="00EE3D94">
        <w:rPr>
          <w:lang w:val="es-ES_tradnl"/>
        </w:rPr>
        <w:t xml:space="preserve"> Guatemala), lo</w:t>
      </w:r>
      <w:r w:rsidR="00C819FB" w:rsidRPr="00EE3D94">
        <w:rPr>
          <w:lang w:val="es-ES_tradnl"/>
        </w:rPr>
        <w:t xml:space="preserve"> que supone el consentimiento popular antes que el de sus contrapartes políticas (Shugart, 2000).</w:t>
      </w:r>
    </w:p>
    <w:p w14:paraId="5F10EA28" w14:textId="77777777" w:rsidR="002C279A" w:rsidRPr="00EE3D94" w:rsidRDefault="002C279A" w:rsidP="00967963">
      <w:pPr>
        <w:tabs>
          <w:tab w:val="left" w:pos="540"/>
        </w:tabs>
        <w:spacing w:line="360" w:lineRule="auto"/>
        <w:jc w:val="both"/>
        <w:rPr>
          <w:lang w:val="es-ES_tradnl"/>
        </w:rPr>
      </w:pPr>
    </w:p>
    <w:p w14:paraId="2016BFA2" w14:textId="08FB6A77" w:rsidR="002C279A" w:rsidRPr="00EE3D94" w:rsidRDefault="002C279A" w:rsidP="006735A7">
      <w:pPr>
        <w:pStyle w:val="Textopredeterminado"/>
        <w:spacing w:line="360" w:lineRule="auto"/>
        <w:ind w:right="43" w:firstLine="708"/>
        <w:jc w:val="both"/>
        <w:rPr>
          <w:szCs w:val="24"/>
          <w:lang w:val="es-ES_tradnl"/>
        </w:rPr>
      </w:pPr>
      <w:r w:rsidRPr="00EE3D94">
        <w:rPr>
          <w:szCs w:val="24"/>
          <w:lang w:val="es-ES_tradnl"/>
        </w:rPr>
        <w:t>De esta manera, los regímenes presidenciales se pueden clasificar</w:t>
      </w:r>
      <w:r w:rsidR="0097789A">
        <w:rPr>
          <w:szCs w:val="24"/>
          <w:lang w:val="es-ES_tradnl"/>
        </w:rPr>
        <w:t>,</w:t>
      </w:r>
      <w:r w:rsidRPr="00EE3D94">
        <w:rPr>
          <w:szCs w:val="24"/>
          <w:lang w:val="es-ES_tradnl"/>
        </w:rPr>
        <w:t xml:space="preserve"> por sus facultades constitucionales</w:t>
      </w:r>
      <w:r w:rsidR="0097789A">
        <w:rPr>
          <w:szCs w:val="24"/>
          <w:lang w:val="es-ES_tradnl"/>
        </w:rPr>
        <w:t>,</w:t>
      </w:r>
      <w:r w:rsidRPr="00EE3D94">
        <w:rPr>
          <w:szCs w:val="24"/>
          <w:lang w:val="es-ES_tradnl"/>
        </w:rPr>
        <w:t xml:space="preserve"> en hegemónicos </w:t>
      </w:r>
      <w:r w:rsidR="0097789A">
        <w:rPr>
          <w:szCs w:val="24"/>
          <w:lang w:val="es-ES_tradnl"/>
        </w:rPr>
        <w:t>(</w:t>
      </w:r>
      <w:r w:rsidRPr="00EE3D94">
        <w:rPr>
          <w:szCs w:val="24"/>
          <w:lang w:val="es-ES_tradnl"/>
        </w:rPr>
        <w:t>Brasil, Ecuador, Honduras, México, República Dominicana y Venezuela</w:t>
      </w:r>
      <w:r w:rsidR="0097789A">
        <w:rPr>
          <w:szCs w:val="24"/>
          <w:lang w:val="es-ES_tradnl"/>
        </w:rPr>
        <w:t>),</w:t>
      </w:r>
      <w:r w:rsidR="0097789A" w:rsidRPr="00EE3D94">
        <w:rPr>
          <w:szCs w:val="24"/>
          <w:lang w:val="es-ES_tradnl"/>
        </w:rPr>
        <w:t xml:space="preserve"> </w:t>
      </w:r>
      <w:r w:rsidRPr="00EE3D94">
        <w:rPr>
          <w:szCs w:val="24"/>
          <w:lang w:val="es-ES_tradnl"/>
        </w:rPr>
        <w:t xml:space="preserve">con matices parlamentarios </w:t>
      </w:r>
      <w:r w:rsidR="0097789A">
        <w:rPr>
          <w:szCs w:val="24"/>
          <w:lang w:val="es-ES_tradnl"/>
        </w:rPr>
        <w:t>(</w:t>
      </w:r>
      <w:r w:rsidRPr="00EE3D94">
        <w:rPr>
          <w:szCs w:val="24"/>
          <w:lang w:val="es-ES_tradnl"/>
        </w:rPr>
        <w:t>Bolivia, Chile, Colombia, Costa Rica, El Salvador, Nicaragua, Panamá y Paraguay</w:t>
      </w:r>
      <w:r w:rsidR="0097789A">
        <w:rPr>
          <w:szCs w:val="24"/>
          <w:lang w:val="es-ES_tradnl"/>
        </w:rPr>
        <w:t>)</w:t>
      </w:r>
      <w:r w:rsidR="0097789A" w:rsidRPr="00EE3D94">
        <w:rPr>
          <w:szCs w:val="24"/>
          <w:lang w:val="es-ES_tradnl"/>
        </w:rPr>
        <w:t xml:space="preserve"> </w:t>
      </w:r>
      <w:r w:rsidRPr="00EE3D94">
        <w:rPr>
          <w:szCs w:val="24"/>
          <w:lang w:val="es-ES_tradnl"/>
        </w:rPr>
        <w:t xml:space="preserve">y los presidencialismos “parlamentarizados” </w:t>
      </w:r>
      <w:r w:rsidR="0097789A">
        <w:rPr>
          <w:szCs w:val="24"/>
          <w:lang w:val="es-ES_tradnl"/>
        </w:rPr>
        <w:t>(</w:t>
      </w:r>
      <w:r w:rsidRPr="00EE3D94">
        <w:rPr>
          <w:szCs w:val="24"/>
          <w:lang w:val="es-ES_tradnl"/>
        </w:rPr>
        <w:t>Argentina, Guatemala, Perú y Uruguay</w:t>
      </w:r>
      <w:r w:rsidR="0097789A">
        <w:rPr>
          <w:szCs w:val="24"/>
          <w:lang w:val="es-ES_tradnl"/>
        </w:rPr>
        <w:t>)</w:t>
      </w:r>
      <w:r w:rsidRPr="00EE3D94">
        <w:rPr>
          <w:szCs w:val="24"/>
          <w:lang w:val="es-ES_tradnl"/>
        </w:rPr>
        <w:t xml:space="preserve"> (Reniu y Albala, 2011).</w:t>
      </w:r>
    </w:p>
    <w:p w14:paraId="2C454378" w14:textId="77777777" w:rsidR="00B57B25" w:rsidRDefault="00B57B25" w:rsidP="00B57B25">
      <w:pPr>
        <w:jc w:val="both"/>
        <w:rPr>
          <w:sz w:val="20"/>
          <w:szCs w:val="20"/>
          <w:lang w:val="es-ES_tradnl"/>
        </w:rPr>
      </w:pPr>
    </w:p>
    <w:p w14:paraId="669933CC" w14:textId="1E6510FF" w:rsidR="00121180" w:rsidRPr="00EE3D94" w:rsidRDefault="00121180" w:rsidP="00D7071B">
      <w:pPr>
        <w:jc w:val="center"/>
        <w:rPr>
          <w:sz w:val="20"/>
          <w:szCs w:val="20"/>
          <w:lang w:val="es-ES_tradnl"/>
        </w:rPr>
      </w:pPr>
      <w:r w:rsidRPr="006735A7">
        <w:rPr>
          <w:b/>
          <w:szCs w:val="22"/>
          <w:lang w:val="es-ES_tradnl"/>
        </w:rPr>
        <w:t>Tabla 2</w:t>
      </w:r>
      <w:r>
        <w:rPr>
          <w:b/>
          <w:szCs w:val="22"/>
          <w:lang w:val="es-ES_tradnl"/>
        </w:rPr>
        <w:t xml:space="preserve">. </w:t>
      </w:r>
      <w:r w:rsidRPr="001F4C4A">
        <w:rPr>
          <w:szCs w:val="22"/>
          <w:lang w:val="es-ES_tradnl"/>
        </w:rPr>
        <w:t>Cambio constitucional y equilibrio en sistemas presidenciales</w:t>
      </w:r>
    </w:p>
    <w:tbl>
      <w:tblPr>
        <w:tblStyle w:val="Tablaconcuadrcula"/>
        <w:tblW w:w="0" w:type="auto"/>
        <w:jc w:val="center"/>
        <w:tblLook w:val="04A0" w:firstRow="1" w:lastRow="0" w:firstColumn="1" w:lastColumn="0" w:noHBand="0" w:noVBand="1"/>
      </w:tblPr>
      <w:tblGrid>
        <w:gridCol w:w="2047"/>
        <w:gridCol w:w="2184"/>
        <w:gridCol w:w="1974"/>
        <w:gridCol w:w="2849"/>
      </w:tblGrid>
      <w:tr w:rsidR="00C711B2" w:rsidRPr="00EE3D94" w14:paraId="72785CA3" w14:textId="258C1474" w:rsidTr="00D7071B">
        <w:trPr>
          <w:cantSplit/>
          <w:trHeight w:val="547"/>
          <w:jc w:val="center"/>
        </w:trPr>
        <w:tc>
          <w:tcPr>
            <w:tcW w:w="2047" w:type="dxa"/>
          </w:tcPr>
          <w:p w14:paraId="595BE31B" w14:textId="77777777" w:rsidR="00C711B2" w:rsidRPr="006735A7" w:rsidRDefault="00C711B2" w:rsidP="006735A7">
            <w:pPr>
              <w:jc w:val="center"/>
              <w:rPr>
                <w:b/>
                <w:sz w:val="22"/>
                <w:szCs w:val="22"/>
                <w:lang w:val="es-ES_tradnl"/>
              </w:rPr>
            </w:pPr>
            <w:r w:rsidRPr="006735A7">
              <w:rPr>
                <w:b/>
                <w:sz w:val="22"/>
                <w:szCs w:val="22"/>
                <w:lang w:val="es-ES_tradnl"/>
              </w:rPr>
              <w:t>Tipo de equilibrio</w:t>
            </w:r>
          </w:p>
        </w:tc>
        <w:tc>
          <w:tcPr>
            <w:tcW w:w="2184" w:type="dxa"/>
          </w:tcPr>
          <w:p w14:paraId="35246EDB" w14:textId="77777777" w:rsidR="00C711B2" w:rsidRPr="006735A7" w:rsidRDefault="00C711B2" w:rsidP="006735A7">
            <w:pPr>
              <w:jc w:val="center"/>
              <w:rPr>
                <w:b/>
                <w:sz w:val="22"/>
                <w:szCs w:val="22"/>
                <w:lang w:val="es-ES_tradnl"/>
              </w:rPr>
            </w:pPr>
            <w:r w:rsidRPr="006735A7">
              <w:rPr>
                <w:b/>
                <w:sz w:val="22"/>
                <w:szCs w:val="22"/>
                <w:lang w:val="es-ES_tradnl"/>
              </w:rPr>
              <w:t>Tipo de cooperación</w:t>
            </w:r>
          </w:p>
        </w:tc>
        <w:tc>
          <w:tcPr>
            <w:tcW w:w="1974" w:type="dxa"/>
          </w:tcPr>
          <w:p w14:paraId="51BD9E8D" w14:textId="77777777" w:rsidR="00C711B2" w:rsidRPr="006735A7" w:rsidRDefault="00C711B2" w:rsidP="006735A7">
            <w:pPr>
              <w:jc w:val="center"/>
              <w:rPr>
                <w:b/>
                <w:sz w:val="22"/>
                <w:szCs w:val="22"/>
                <w:lang w:val="es-ES_tradnl"/>
              </w:rPr>
            </w:pPr>
            <w:r w:rsidRPr="006735A7">
              <w:rPr>
                <w:b/>
                <w:sz w:val="22"/>
                <w:szCs w:val="22"/>
                <w:lang w:val="es-ES_tradnl"/>
              </w:rPr>
              <w:t>Efectos en el equilibrio</w:t>
            </w:r>
          </w:p>
        </w:tc>
        <w:tc>
          <w:tcPr>
            <w:tcW w:w="2849" w:type="dxa"/>
          </w:tcPr>
          <w:p w14:paraId="09F960D0" w14:textId="2150E16B" w:rsidR="00C711B2" w:rsidRPr="006735A7" w:rsidRDefault="00C711B2" w:rsidP="006735A7">
            <w:pPr>
              <w:jc w:val="center"/>
              <w:rPr>
                <w:b/>
                <w:sz w:val="22"/>
                <w:szCs w:val="22"/>
                <w:lang w:val="es-ES_tradnl"/>
              </w:rPr>
            </w:pPr>
            <w:r w:rsidRPr="006735A7">
              <w:rPr>
                <w:b/>
                <w:sz w:val="22"/>
                <w:szCs w:val="22"/>
                <w:lang w:val="es-ES_tradnl"/>
              </w:rPr>
              <w:t>Países</w:t>
            </w:r>
          </w:p>
        </w:tc>
      </w:tr>
      <w:tr w:rsidR="00C711B2" w:rsidRPr="00EE3D94" w14:paraId="1AB0758B" w14:textId="3F03C7A8" w:rsidTr="00D7071B">
        <w:trPr>
          <w:cantSplit/>
          <w:trHeight w:val="1136"/>
          <w:jc w:val="center"/>
        </w:trPr>
        <w:tc>
          <w:tcPr>
            <w:tcW w:w="2047" w:type="dxa"/>
          </w:tcPr>
          <w:p w14:paraId="0E86DC1E" w14:textId="77777777" w:rsidR="00C711B2" w:rsidRPr="00EE3D94" w:rsidRDefault="00C711B2" w:rsidP="006208E5">
            <w:pPr>
              <w:jc w:val="both"/>
              <w:rPr>
                <w:sz w:val="22"/>
                <w:szCs w:val="22"/>
                <w:lang w:val="es-ES_tradnl"/>
              </w:rPr>
            </w:pPr>
            <w:r w:rsidRPr="00EE3D94">
              <w:rPr>
                <w:sz w:val="22"/>
                <w:szCs w:val="22"/>
                <w:lang w:val="es-ES_tradnl"/>
              </w:rPr>
              <w:t>Hegemónico o facultades extraordinarias del presidente</w:t>
            </w:r>
          </w:p>
          <w:p w14:paraId="66B72AF6" w14:textId="77777777" w:rsidR="00C711B2" w:rsidRPr="00EE3D94" w:rsidRDefault="00C711B2" w:rsidP="00B57B25">
            <w:pPr>
              <w:tabs>
                <w:tab w:val="left" w:pos="7513"/>
              </w:tabs>
              <w:autoSpaceDE w:val="0"/>
              <w:autoSpaceDN w:val="0"/>
              <w:spacing w:before="120" w:after="120"/>
              <w:ind w:left="624" w:hanging="624"/>
              <w:jc w:val="both"/>
              <w:rPr>
                <w:sz w:val="22"/>
                <w:szCs w:val="22"/>
                <w:lang w:val="es-ES_tradnl"/>
              </w:rPr>
            </w:pPr>
          </w:p>
        </w:tc>
        <w:tc>
          <w:tcPr>
            <w:tcW w:w="2184" w:type="dxa"/>
          </w:tcPr>
          <w:p w14:paraId="1BF804D3" w14:textId="56468ADD" w:rsidR="00C711B2" w:rsidRPr="00EE3D94" w:rsidRDefault="00C711B2" w:rsidP="00B57B25">
            <w:pPr>
              <w:jc w:val="both"/>
              <w:rPr>
                <w:sz w:val="22"/>
                <w:szCs w:val="22"/>
                <w:lang w:val="es-ES_tradnl"/>
              </w:rPr>
            </w:pPr>
            <w:r w:rsidRPr="00EE3D94">
              <w:rPr>
                <w:sz w:val="22"/>
                <w:szCs w:val="22"/>
                <w:lang w:val="es-ES_tradnl"/>
              </w:rPr>
              <w:t xml:space="preserve">Unipartidario (mayoría parlamentaria contraria al partido del </w:t>
            </w:r>
            <w:r w:rsidR="006208E5">
              <w:rPr>
                <w:sz w:val="22"/>
                <w:szCs w:val="22"/>
                <w:lang w:val="es-ES_tradnl"/>
              </w:rPr>
              <w:t>p</w:t>
            </w:r>
            <w:r w:rsidR="006208E5" w:rsidRPr="00EE3D94">
              <w:rPr>
                <w:sz w:val="22"/>
                <w:szCs w:val="22"/>
                <w:lang w:val="es-ES_tradnl"/>
              </w:rPr>
              <w:t>residente</w:t>
            </w:r>
            <w:r w:rsidRPr="00EE3D94">
              <w:rPr>
                <w:sz w:val="22"/>
                <w:szCs w:val="22"/>
                <w:lang w:val="es-ES_tradnl"/>
              </w:rPr>
              <w:t>, o predominio de uno de los partidos)</w:t>
            </w:r>
          </w:p>
        </w:tc>
        <w:tc>
          <w:tcPr>
            <w:tcW w:w="1974" w:type="dxa"/>
          </w:tcPr>
          <w:p w14:paraId="14DDC3E2" w14:textId="77777777" w:rsidR="00C711B2" w:rsidRPr="00EE3D94" w:rsidRDefault="00C711B2" w:rsidP="00B57B25">
            <w:pPr>
              <w:jc w:val="both"/>
              <w:rPr>
                <w:sz w:val="22"/>
                <w:szCs w:val="22"/>
                <w:lang w:val="es-ES_tradnl"/>
              </w:rPr>
            </w:pPr>
            <w:r w:rsidRPr="00EE3D94">
              <w:rPr>
                <w:sz w:val="22"/>
                <w:szCs w:val="22"/>
                <w:lang w:val="es-ES_tradnl"/>
              </w:rPr>
              <w:t>Incrementa el bloqueo presidencial</w:t>
            </w:r>
          </w:p>
        </w:tc>
        <w:tc>
          <w:tcPr>
            <w:tcW w:w="2849" w:type="dxa"/>
          </w:tcPr>
          <w:p w14:paraId="0F0F456F" w14:textId="1CD2E317" w:rsidR="00C711B2" w:rsidRPr="00EE3D94" w:rsidRDefault="00C711B2" w:rsidP="00B57B25">
            <w:pPr>
              <w:jc w:val="both"/>
              <w:rPr>
                <w:sz w:val="22"/>
                <w:szCs w:val="22"/>
                <w:lang w:val="es-ES_tradnl"/>
              </w:rPr>
            </w:pPr>
            <w:r w:rsidRPr="00EE3D94">
              <w:rPr>
                <w:sz w:val="22"/>
                <w:szCs w:val="22"/>
                <w:lang w:val="es-ES_tradnl"/>
              </w:rPr>
              <w:t>Brasil, Ecuador, Honduras, México, República Dominicana, Venezuela</w:t>
            </w:r>
          </w:p>
        </w:tc>
      </w:tr>
      <w:tr w:rsidR="00C711B2" w:rsidRPr="00EE3D94" w14:paraId="1BA4862E" w14:textId="57E77F27" w:rsidTr="00D7071B">
        <w:trPr>
          <w:cantSplit/>
          <w:trHeight w:val="1136"/>
          <w:jc w:val="center"/>
        </w:trPr>
        <w:tc>
          <w:tcPr>
            <w:tcW w:w="2047" w:type="dxa"/>
          </w:tcPr>
          <w:p w14:paraId="7E9A1110" w14:textId="77777777" w:rsidR="00C711B2" w:rsidRPr="00EE3D94" w:rsidRDefault="00C711B2" w:rsidP="00B57B25">
            <w:pPr>
              <w:jc w:val="both"/>
              <w:rPr>
                <w:sz w:val="22"/>
                <w:szCs w:val="22"/>
                <w:lang w:val="es-ES_tradnl"/>
              </w:rPr>
            </w:pPr>
            <w:r w:rsidRPr="00EE3D94">
              <w:rPr>
                <w:sz w:val="22"/>
                <w:szCs w:val="22"/>
                <w:lang w:val="es-ES_tradnl"/>
              </w:rPr>
              <w:t>Con matices parlamentarios, restringen los poderes presidenciales</w:t>
            </w:r>
          </w:p>
        </w:tc>
        <w:tc>
          <w:tcPr>
            <w:tcW w:w="2184" w:type="dxa"/>
          </w:tcPr>
          <w:p w14:paraId="778D7C29" w14:textId="77777777" w:rsidR="00C711B2" w:rsidRPr="00EE3D94" w:rsidRDefault="00C711B2" w:rsidP="00B57B25">
            <w:pPr>
              <w:jc w:val="both"/>
              <w:rPr>
                <w:sz w:val="22"/>
                <w:szCs w:val="22"/>
                <w:lang w:val="es-ES_tradnl"/>
              </w:rPr>
            </w:pPr>
            <w:r w:rsidRPr="00EE3D94">
              <w:rPr>
                <w:sz w:val="22"/>
                <w:szCs w:val="22"/>
                <w:lang w:val="es-ES_tradnl"/>
              </w:rPr>
              <w:t xml:space="preserve">Gobierno minoritario (ningún partido ostenta la mayoría) </w:t>
            </w:r>
          </w:p>
        </w:tc>
        <w:tc>
          <w:tcPr>
            <w:tcW w:w="1974" w:type="dxa"/>
          </w:tcPr>
          <w:p w14:paraId="09E119B9" w14:textId="77777777" w:rsidR="00C711B2" w:rsidRPr="00EE3D94" w:rsidRDefault="00C711B2" w:rsidP="00B57B25">
            <w:pPr>
              <w:jc w:val="both"/>
              <w:rPr>
                <w:sz w:val="22"/>
                <w:szCs w:val="22"/>
                <w:lang w:val="es-ES_tradnl"/>
              </w:rPr>
            </w:pPr>
            <w:r w:rsidRPr="00EE3D94">
              <w:rPr>
                <w:sz w:val="22"/>
                <w:szCs w:val="22"/>
                <w:lang w:val="es-ES_tradnl"/>
              </w:rPr>
              <w:t>Negociación de acuerdos puntuales y provisionales. Condiciona la cooperación a las temáticas puntuales</w:t>
            </w:r>
          </w:p>
        </w:tc>
        <w:tc>
          <w:tcPr>
            <w:tcW w:w="2849" w:type="dxa"/>
          </w:tcPr>
          <w:p w14:paraId="6705CE1D" w14:textId="0C972252" w:rsidR="00C711B2" w:rsidRPr="00EE3D94" w:rsidRDefault="00C711B2" w:rsidP="00B57B25">
            <w:pPr>
              <w:jc w:val="both"/>
              <w:rPr>
                <w:sz w:val="22"/>
                <w:szCs w:val="22"/>
                <w:lang w:val="es-ES_tradnl"/>
              </w:rPr>
            </w:pPr>
            <w:r w:rsidRPr="00EE3D94">
              <w:rPr>
                <w:sz w:val="22"/>
                <w:szCs w:val="22"/>
                <w:lang w:val="es-ES_tradnl"/>
              </w:rPr>
              <w:t xml:space="preserve">Bolivia, Chile, Colombia, Costa Rica, El Salvador, Nicaragua, Panamá y Paraguay </w:t>
            </w:r>
          </w:p>
        </w:tc>
      </w:tr>
      <w:tr w:rsidR="00C711B2" w:rsidRPr="00EE3D94" w14:paraId="64E211B6" w14:textId="64C10B4B" w:rsidTr="00D7071B">
        <w:trPr>
          <w:cantSplit/>
          <w:trHeight w:val="1136"/>
          <w:jc w:val="center"/>
        </w:trPr>
        <w:tc>
          <w:tcPr>
            <w:tcW w:w="2047" w:type="dxa"/>
          </w:tcPr>
          <w:p w14:paraId="11BC607D" w14:textId="77777777" w:rsidR="00C711B2" w:rsidRPr="00EE3D94" w:rsidRDefault="00C711B2" w:rsidP="00B57B25">
            <w:pPr>
              <w:jc w:val="both"/>
              <w:rPr>
                <w:sz w:val="22"/>
                <w:szCs w:val="22"/>
                <w:lang w:val="es-ES_tradnl"/>
              </w:rPr>
            </w:pPr>
            <w:r w:rsidRPr="00EE3D94">
              <w:rPr>
                <w:sz w:val="22"/>
                <w:szCs w:val="22"/>
                <w:lang w:val="es-ES_tradnl"/>
              </w:rPr>
              <w:t>Parlamentarizado introduce la figura de primer ministro, la censura o la disolución del Congreso</w:t>
            </w:r>
          </w:p>
        </w:tc>
        <w:tc>
          <w:tcPr>
            <w:tcW w:w="2184" w:type="dxa"/>
          </w:tcPr>
          <w:p w14:paraId="02CE63B8" w14:textId="77777777" w:rsidR="00C711B2" w:rsidRPr="00EE3D94" w:rsidRDefault="00C711B2" w:rsidP="00B57B25">
            <w:pPr>
              <w:jc w:val="both"/>
              <w:rPr>
                <w:sz w:val="22"/>
                <w:szCs w:val="22"/>
                <w:lang w:val="es-ES_tradnl"/>
              </w:rPr>
            </w:pPr>
            <w:r w:rsidRPr="00EE3D94">
              <w:rPr>
                <w:sz w:val="22"/>
                <w:szCs w:val="22"/>
                <w:lang w:val="es-ES_tradnl"/>
              </w:rPr>
              <w:t xml:space="preserve">Gobierno de coalición (fuerzas políticas similares en tamaño) </w:t>
            </w:r>
          </w:p>
        </w:tc>
        <w:tc>
          <w:tcPr>
            <w:tcW w:w="1974" w:type="dxa"/>
          </w:tcPr>
          <w:p w14:paraId="42D4482F" w14:textId="77777777" w:rsidR="00C711B2" w:rsidRPr="00EE3D94" w:rsidRDefault="00C711B2" w:rsidP="00B57B25">
            <w:pPr>
              <w:jc w:val="both"/>
              <w:rPr>
                <w:sz w:val="22"/>
                <w:szCs w:val="22"/>
                <w:lang w:val="es-ES_tradnl"/>
              </w:rPr>
            </w:pPr>
            <w:r w:rsidRPr="00EE3D94">
              <w:rPr>
                <w:sz w:val="22"/>
                <w:szCs w:val="22"/>
                <w:lang w:val="es-ES_tradnl"/>
              </w:rPr>
              <w:t>Negociación de acuerdos estables. Incentivan la cooperación con el presidente</w:t>
            </w:r>
          </w:p>
        </w:tc>
        <w:tc>
          <w:tcPr>
            <w:tcW w:w="2849" w:type="dxa"/>
          </w:tcPr>
          <w:p w14:paraId="5CDB3780" w14:textId="32B44670" w:rsidR="00C711B2" w:rsidRPr="00EE3D94" w:rsidRDefault="00C711B2" w:rsidP="00B57B25">
            <w:pPr>
              <w:jc w:val="both"/>
              <w:rPr>
                <w:sz w:val="22"/>
                <w:szCs w:val="22"/>
                <w:lang w:val="es-ES_tradnl"/>
              </w:rPr>
            </w:pPr>
            <w:r w:rsidRPr="00EE3D94">
              <w:rPr>
                <w:sz w:val="22"/>
                <w:szCs w:val="22"/>
                <w:lang w:val="es-ES_tradnl"/>
              </w:rPr>
              <w:t>Argentina, Guatemala, Perú y Uruguay</w:t>
            </w:r>
          </w:p>
        </w:tc>
      </w:tr>
    </w:tbl>
    <w:p w14:paraId="4FCE4D68" w14:textId="78229241" w:rsidR="00B57B25" w:rsidRPr="006735A7" w:rsidRDefault="00B57B25" w:rsidP="006735A7">
      <w:pPr>
        <w:jc w:val="center"/>
        <w:rPr>
          <w:szCs w:val="22"/>
          <w:lang w:val="es-ES_tradnl"/>
        </w:rPr>
      </w:pPr>
      <w:r w:rsidRPr="006735A7">
        <w:rPr>
          <w:szCs w:val="22"/>
          <w:lang w:val="es-ES_tradnl"/>
        </w:rPr>
        <w:t xml:space="preserve">Fuente: Elaboración propia con base en Reniu Vilamala </w:t>
      </w:r>
      <w:r w:rsidR="005D69CF">
        <w:rPr>
          <w:szCs w:val="22"/>
          <w:lang w:val="es-ES_tradnl"/>
        </w:rPr>
        <w:t>(</w:t>
      </w:r>
      <w:r w:rsidRPr="006735A7">
        <w:rPr>
          <w:szCs w:val="22"/>
          <w:lang w:val="es-ES_tradnl"/>
        </w:rPr>
        <w:t>2008</w:t>
      </w:r>
      <w:r w:rsidR="005D69CF">
        <w:rPr>
          <w:szCs w:val="22"/>
          <w:lang w:val="es-ES_tradnl"/>
        </w:rPr>
        <w:t>),</w:t>
      </w:r>
      <w:r w:rsidR="005D69CF" w:rsidRPr="006735A7">
        <w:rPr>
          <w:szCs w:val="22"/>
          <w:lang w:val="es-ES_tradnl"/>
        </w:rPr>
        <w:t xml:space="preserve"> </w:t>
      </w:r>
      <w:r w:rsidRPr="006735A7">
        <w:rPr>
          <w:szCs w:val="22"/>
          <w:lang w:val="es-ES_tradnl"/>
        </w:rPr>
        <w:t xml:space="preserve">Reniu y Albala </w:t>
      </w:r>
      <w:r w:rsidR="005D69CF">
        <w:rPr>
          <w:szCs w:val="22"/>
          <w:lang w:val="es-ES_tradnl"/>
        </w:rPr>
        <w:t>(</w:t>
      </w:r>
      <w:r w:rsidRPr="006735A7">
        <w:rPr>
          <w:szCs w:val="22"/>
          <w:lang w:val="es-ES_tradnl"/>
        </w:rPr>
        <w:t>2011</w:t>
      </w:r>
      <w:r w:rsidR="005D69CF">
        <w:rPr>
          <w:szCs w:val="22"/>
          <w:lang w:val="es-ES_tradnl"/>
        </w:rPr>
        <w:t>),</w:t>
      </w:r>
      <w:r w:rsidR="005D69CF" w:rsidRPr="006735A7">
        <w:rPr>
          <w:szCs w:val="22"/>
          <w:lang w:val="es-ES_tradnl"/>
        </w:rPr>
        <w:t xml:space="preserve"> </w:t>
      </w:r>
      <w:r w:rsidRPr="006735A7">
        <w:rPr>
          <w:szCs w:val="22"/>
          <w:lang w:val="es-ES_tradnl"/>
        </w:rPr>
        <w:t xml:space="preserve">Payne </w:t>
      </w:r>
      <w:r w:rsidRPr="006735A7">
        <w:rPr>
          <w:i/>
          <w:szCs w:val="22"/>
          <w:lang w:val="es-ES_tradnl"/>
        </w:rPr>
        <w:t>et al.</w:t>
      </w:r>
      <w:r w:rsidRPr="006735A7">
        <w:rPr>
          <w:szCs w:val="22"/>
          <w:lang w:val="es-ES_tradnl"/>
        </w:rPr>
        <w:t xml:space="preserve"> </w:t>
      </w:r>
      <w:r w:rsidR="005D69CF">
        <w:rPr>
          <w:szCs w:val="22"/>
          <w:lang w:val="es-ES_tradnl"/>
        </w:rPr>
        <w:t>(</w:t>
      </w:r>
      <w:r w:rsidR="002C5F85" w:rsidRPr="006735A7">
        <w:rPr>
          <w:szCs w:val="22"/>
          <w:lang w:val="es-ES_tradnl"/>
        </w:rPr>
        <w:t>2003</w:t>
      </w:r>
      <w:r w:rsidR="005D69CF">
        <w:rPr>
          <w:szCs w:val="22"/>
          <w:lang w:val="es-ES_tradnl"/>
        </w:rPr>
        <w:t>),</w:t>
      </w:r>
      <w:r w:rsidR="005D69CF" w:rsidRPr="006735A7">
        <w:rPr>
          <w:szCs w:val="22"/>
          <w:lang w:val="es-ES_tradnl"/>
        </w:rPr>
        <w:t xml:space="preserve"> </w:t>
      </w:r>
      <w:r w:rsidR="002C5F85" w:rsidRPr="006735A7">
        <w:rPr>
          <w:szCs w:val="22"/>
          <w:lang w:val="es-ES_tradnl"/>
        </w:rPr>
        <w:t xml:space="preserve">Shugart </w:t>
      </w:r>
      <w:r w:rsidR="005D69CF">
        <w:rPr>
          <w:szCs w:val="22"/>
          <w:lang w:val="es-ES_tradnl"/>
        </w:rPr>
        <w:t>(</w:t>
      </w:r>
      <w:r w:rsidR="002C5F85" w:rsidRPr="006735A7">
        <w:rPr>
          <w:szCs w:val="22"/>
          <w:lang w:val="es-ES_tradnl"/>
        </w:rPr>
        <w:t>2000</w:t>
      </w:r>
      <w:r w:rsidR="005D69CF">
        <w:rPr>
          <w:szCs w:val="22"/>
          <w:lang w:val="es-ES_tradnl"/>
        </w:rPr>
        <w:t>),</w:t>
      </w:r>
      <w:r w:rsidR="005D69CF" w:rsidRPr="006735A7">
        <w:rPr>
          <w:szCs w:val="22"/>
          <w:lang w:val="es-ES_tradnl"/>
        </w:rPr>
        <w:t xml:space="preserve"> </w:t>
      </w:r>
      <w:r w:rsidR="002C5F85" w:rsidRPr="006735A7">
        <w:rPr>
          <w:szCs w:val="22"/>
          <w:lang w:val="es-ES_tradnl"/>
        </w:rPr>
        <w:t xml:space="preserve">y Negretto </w:t>
      </w:r>
      <w:r w:rsidR="005D69CF">
        <w:rPr>
          <w:szCs w:val="22"/>
          <w:lang w:val="es-ES_tradnl"/>
        </w:rPr>
        <w:t>(</w:t>
      </w:r>
      <w:r w:rsidR="002C5F85" w:rsidRPr="006735A7">
        <w:rPr>
          <w:szCs w:val="22"/>
          <w:lang w:val="es-ES_tradnl"/>
        </w:rPr>
        <w:t>2009</w:t>
      </w:r>
      <w:r w:rsidR="005D69CF">
        <w:rPr>
          <w:szCs w:val="22"/>
          <w:lang w:val="es-ES_tradnl"/>
        </w:rPr>
        <w:t>)</w:t>
      </w:r>
    </w:p>
    <w:p w14:paraId="5C7915C6" w14:textId="77777777" w:rsidR="00B57B25" w:rsidRPr="00EE3D94" w:rsidRDefault="00B57B25" w:rsidP="002C279A">
      <w:pPr>
        <w:pStyle w:val="Textopredeterminado"/>
        <w:ind w:right="44"/>
        <w:jc w:val="both"/>
        <w:rPr>
          <w:sz w:val="22"/>
          <w:szCs w:val="22"/>
          <w:lang w:val="es-ES_tradnl"/>
        </w:rPr>
      </w:pPr>
    </w:p>
    <w:p w14:paraId="5944AA40" w14:textId="1F949F6E" w:rsidR="00300E0E" w:rsidRPr="00EE3D94" w:rsidRDefault="005D69CF" w:rsidP="00546C29">
      <w:pPr>
        <w:tabs>
          <w:tab w:val="left" w:pos="540"/>
        </w:tabs>
        <w:spacing w:line="360" w:lineRule="auto"/>
        <w:jc w:val="both"/>
        <w:rPr>
          <w:lang w:val="es-ES_tradnl"/>
        </w:rPr>
      </w:pPr>
      <w:r>
        <w:rPr>
          <w:lang w:val="es-ES_tradnl"/>
        </w:rPr>
        <w:tab/>
      </w:r>
      <w:r w:rsidR="00A939D0" w:rsidRPr="00EE3D94">
        <w:rPr>
          <w:lang w:val="es-ES_tradnl"/>
        </w:rPr>
        <w:t xml:space="preserve">Es decir, </w:t>
      </w:r>
      <w:r w:rsidR="002C5F85" w:rsidRPr="00EE3D94">
        <w:rPr>
          <w:lang w:val="es-ES_tradnl"/>
        </w:rPr>
        <w:t xml:space="preserve">de acuerdo con </w:t>
      </w:r>
      <w:r>
        <w:rPr>
          <w:lang w:val="es-ES_tradnl"/>
        </w:rPr>
        <w:t>la tabla</w:t>
      </w:r>
      <w:r w:rsidR="002C5F85" w:rsidRPr="00EE3D94">
        <w:rPr>
          <w:lang w:val="es-ES_tradnl"/>
        </w:rPr>
        <w:t xml:space="preserve"> dos, </w:t>
      </w:r>
      <w:r w:rsidR="00A939D0" w:rsidRPr="00EE3D94">
        <w:rPr>
          <w:lang w:val="es-ES_tradnl"/>
        </w:rPr>
        <w:t xml:space="preserve">las reformas constitucionales en la región </w:t>
      </w:r>
      <w:r w:rsidR="00546C29" w:rsidRPr="00EE3D94">
        <w:rPr>
          <w:lang w:val="es-ES_tradnl"/>
        </w:rPr>
        <w:t>contribuyeron, en algunos caso</w:t>
      </w:r>
      <w:r w:rsidR="00B57B25" w:rsidRPr="00EE3D94">
        <w:rPr>
          <w:lang w:val="es-ES_tradnl"/>
        </w:rPr>
        <w:t>s</w:t>
      </w:r>
      <w:r w:rsidR="00546C29" w:rsidRPr="00EE3D94">
        <w:rPr>
          <w:lang w:val="es-ES_tradnl"/>
        </w:rPr>
        <w:t>,</w:t>
      </w:r>
      <w:r w:rsidR="00A939D0" w:rsidRPr="00EE3D94">
        <w:rPr>
          <w:lang w:val="es-ES_tradnl"/>
        </w:rPr>
        <w:t xml:space="preserve"> a equilibrar los poderes de los </w:t>
      </w:r>
      <w:r>
        <w:rPr>
          <w:lang w:val="es-ES_tradnl"/>
        </w:rPr>
        <w:t>E</w:t>
      </w:r>
      <w:r w:rsidRPr="00EE3D94">
        <w:rPr>
          <w:lang w:val="es-ES_tradnl"/>
        </w:rPr>
        <w:t xml:space="preserve">jecutivos </w:t>
      </w:r>
      <w:r w:rsidR="00A939D0" w:rsidRPr="00EE3D94">
        <w:rPr>
          <w:lang w:val="es-ES_tradnl"/>
        </w:rPr>
        <w:t>respecto a sus contrapartes legis</w:t>
      </w:r>
      <w:r w:rsidR="00546C29" w:rsidRPr="00EE3D94">
        <w:rPr>
          <w:lang w:val="es-ES_tradnl"/>
        </w:rPr>
        <w:t>lativas y a fortalecer las facul</w:t>
      </w:r>
      <w:r w:rsidR="00A939D0" w:rsidRPr="00EE3D94">
        <w:rPr>
          <w:lang w:val="es-ES_tradnl"/>
        </w:rPr>
        <w:t xml:space="preserve">tades de los congresos para ejercer sus funciones de fiscalización. Al mismo tiempo, los </w:t>
      </w:r>
      <w:r w:rsidR="00546C29" w:rsidRPr="00EE3D94">
        <w:rPr>
          <w:lang w:val="es-ES_tradnl"/>
        </w:rPr>
        <w:t xml:space="preserve">Ejecutivos consiguen facultades </w:t>
      </w:r>
      <w:r w:rsidR="00546C29" w:rsidRPr="00EE3D94">
        <w:rPr>
          <w:lang w:val="es-ES_tradnl"/>
        </w:rPr>
        <w:lastRenderedPageBreak/>
        <w:t>extraordinarias que eluden los intercambios con el Poder Legislativo. Como resultado de estas transformaciones</w:t>
      </w:r>
      <w:r>
        <w:rPr>
          <w:lang w:val="es-ES_tradnl"/>
        </w:rPr>
        <w:t>,</w:t>
      </w:r>
      <w:r w:rsidR="00546C29" w:rsidRPr="00EE3D94">
        <w:rPr>
          <w:lang w:val="es-ES_tradnl"/>
        </w:rPr>
        <w:t xml:space="preserve"> es posible identificar </w:t>
      </w:r>
      <w:r w:rsidR="00624EB5" w:rsidRPr="00EE3D94">
        <w:rPr>
          <w:lang w:val="es-ES_tradnl"/>
        </w:rPr>
        <w:t xml:space="preserve">dos </w:t>
      </w:r>
      <w:r w:rsidR="001E79E6" w:rsidRPr="00EE3D94">
        <w:rPr>
          <w:lang w:val="es-ES_tradnl"/>
        </w:rPr>
        <w:t>efecto</w:t>
      </w:r>
      <w:r w:rsidR="00624EB5" w:rsidRPr="00EE3D94">
        <w:rPr>
          <w:lang w:val="es-ES_tradnl"/>
        </w:rPr>
        <w:t>s</w:t>
      </w:r>
      <w:r w:rsidR="001E79E6" w:rsidRPr="00EE3D94">
        <w:rPr>
          <w:lang w:val="es-ES_tradnl"/>
        </w:rPr>
        <w:t xml:space="preserve"> en el equilibrio</w:t>
      </w:r>
      <w:r>
        <w:rPr>
          <w:lang w:val="es-ES_tradnl"/>
        </w:rPr>
        <w:t>:</w:t>
      </w:r>
      <w:r w:rsidRPr="00EE3D94">
        <w:rPr>
          <w:lang w:val="es-ES_tradnl"/>
        </w:rPr>
        <w:t xml:space="preserve"> </w:t>
      </w:r>
      <w:r w:rsidR="00C55362" w:rsidRPr="00EE3D94">
        <w:rPr>
          <w:lang w:val="es-ES_tradnl"/>
        </w:rPr>
        <w:t>m</w:t>
      </w:r>
      <w:r w:rsidR="001E79E6" w:rsidRPr="00EE3D94">
        <w:rPr>
          <w:lang w:val="es-ES_tradnl"/>
        </w:rPr>
        <w:t>ientra</w:t>
      </w:r>
      <w:r w:rsidR="00B57B25" w:rsidRPr="00EE3D94">
        <w:rPr>
          <w:lang w:val="es-ES_tradnl"/>
        </w:rPr>
        <w:t>s que los sistemas hegemónicos</w:t>
      </w:r>
      <w:r w:rsidR="001E79E6" w:rsidRPr="00EE3D94">
        <w:rPr>
          <w:lang w:val="es-ES_tradnl"/>
        </w:rPr>
        <w:t xml:space="preserve"> favorecen la figura presidencial con facultades extraordinarias</w:t>
      </w:r>
      <w:r>
        <w:rPr>
          <w:lang w:val="es-ES_tradnl"/>
        </w:rPr>
        <w:t xml:space="preserve"> y</w:t>
      </w:r>
      <w:r w:rsidRPr="00EE3D94">
        <w:rPr>
          <w:lang w:val="es-ES_tradnl"/>
        </w:rPr>
        <w:t xml:space="preserve"> </w:t>
      </w:r>
      <w:r w:rsidR="001E79E6" w:rsidRPr="00EE3D94">
        <w:rPr>
          <w:lang w:val="es-ES_tradnl"/>
        </w:rPr>
        <w:t xml:space="preserve">tienden a generar polos de imprevisibilidad </w:t>
      </w:r>
      <w:r w:rsidR="003B48DC" w:rsidRPr="00EE3D94">
        <w:rPr>
          <w:lang w:val="es-ES_tradnl"/>
        </w:rPr>
        <w:t>respecto a</w:t>
      </w:r>
      <w:r w:rsidR="001E79E6" w:rsidRPr="00EE3D94">
        <w:rPr>
          <w:lang w:val="es-ES_tradnl"/>
        </w:rPr>
        <w:t xml:space="preserve">l apoyo que recibe el presidente de parte de los partidos en el Congreso, </w:t>
      </w:r>
      <w:r w:rsidR="002F4E6C" w:rsidRPr="00EE3D94">
        <w:rPr>
          <w:lang w:val="es-ES_tradnl"/>
        </w:rPr>
        <w:t>los que cuentan con rasgos parlamentarios</w:t>
      </w:r>
      <w:r w:rsidR="00B57B25" w:rsidRPr="00EE3D94">
        <w:rPr>
          <w:lang w:val="es-ES_tradnl"/>
        </w:rPr>
        <w:t>,</w:t>
      </w:r>
      <w:r w:rsidR="002F4E6C" w:rsidRPr="00EE3D94">
        <w:rPr>
          <w:lang w:val="es-ES_tradnl"/>
        </w:rPr>
        <w:t xml:space="preserve"> </w:t>
      </w:r>
      <w:r w:rsidR="00624EB5" w:rsidRPr="00EE3D94">
        <w:rPr>
          <w:lang w:val="es-ES_tradnl"/>
        </w:rPr>
        <w:t>al restringir</w:t>
      </w:r>
      <w:r w:rsidR="002F4E6C" w:rsidRPr="00EE3D94">
        <w:rPr>
          <w:lang w:val="es-ES_tradnl"/>
        </w:rPr>
        <w:t xml:space="preserve"> los poderes presidenciales </w:t>
      </w:r>
      <w:r w:rsidR="00624EB5" w:rsidRPr="00EE3D94">
        <w:rPr>
          <w:lang w:val="es-ES_tradnl"/>
        </w:rPr>
        <w:t xml:space="preserve">-con la </w:t>
      </w:r>
      <w:r w:rsidR="002F4E6C" w:rsidRPr="00EE3D94">
        <w:rPr>
          <w:lang w:val="es-ES_tradnl"/>
        </w:rPr>
        <w:t>introduc</w:t>
      </w:r>
      <w:r w:rsidR="00624EB5" w:rsidRPr="00EE3D94">
        <w:rPr>
          <w:lang w:val="es-ES_tradnl"/>
        </w:rPr>
        <w:t>ción</w:t>
      </w:r>
      <w:r w:rsidR="002F4E6C" w:rsidRPr="00EE3D94">
        <w:rPr>
          <w:lang w:val="es-ES_tradnl"/>
        </w:rPr>
        <w:t xml:space="preserve"> </w:t>
      </w:r>
      <w:r w:rsidR="00624EB5" w:rsidRPr="00EE3D94">
        <w:rPr>
          <w:lang w:val="es-ES_tradnl"/>
        </w:rPr>
        <w:t xml:space="preserve">de </w:t>
      </w:r>
      <w:r w:rsidR="002F4E6C" w:rsidRPr="00EE3D94">
        <w:rPr>
          <w:lang w:val="es-ES_tradnl"/>
        </w:rPr>
        <w:t xml:space="preserve">la figura de primer ministro o </w:t>
      </w:r>
      <w:r w:rsidR="00624EB5" w:rsidRPr="00EE3D94">
        <w:rPr>
          <w:lang w:val="es-ES_tradnl"/>
        </w:rPr>
        <w:t xml:space="preserve">de la </w:t>
      </w:r>
      <w:r w:rsidR="002F4E6C" w:rsidRPr="00EE3D94">
        <w:rPr>
          <w:lang w:val="es-ES_tradnl"/>
        </w:rPr>
        <w:t>censura</w:t>
      </w:r>
      <w:r w:rsidR="00624EB5" w:rsidRPr="00EE3D94">
        <w:rPr>
          <w:lang w:val="es-ES_tradnl"/>
        </w:rPr>
        <w:t>-</w:t>
      </w:r>
      <w:r w:rsidR="002F4E6C" w:rsidRPr="00EE3D94">
        <w:rPr>
          <w:lang w:val="es-ES_tradnl"/>
        </w:rPr>
        <w:t>, favorece</w:t>
      </w:r>
      <w:r w:rsidR="006C494B" w:rsidRPr="00EE3D94">
        <w:rPr>
          <w:lang w:val="es-ES_tradnl"/>
        </w:rPr>
        <w:t>n</w:t>
      </w:r>
      <w:r w:rsidR="002F4E6C" w:rsidRPr="00EE3D94">
        <w:rPr>
          <w:lang w:val="es-ES_tradnl"/>
        </w:rPr>
        <w:t xml:space="preserve"> la negociación, puntual para el primer caso y estab</w:t>
      </w:r>
      <w:r w:rsidR="00E30F15" w:rsidRPr="00EE3D94">
        <w:rPr>
          <w:lang w:val="es-ES_tradnl"/>
        </w:rPr>
        <w:t>le para el segundo</w:t>
      </w:r>
      <w:r w:rsidR="00E75702" w:rsidRPr="00EE3D94">
        <w:rPr>
          <w:lang w:val="es-ES_tradnl"/>
        </w:rPr>
        <w:t>.</w:t>
      </w:r>
      <w:r w:rsidR="00E30F15" w:rsidRPr="00EE3D94">
        <w:rPr>
          <w:lang w:val="es-ES_tradnl"/>
        </w:rPr>
        <w:t xml:space="preserve"> </w:t>
      </w:r>
    </w:p>
    <w:p w14:paraId="7A13A5D2" w14:textId="77777777" w:rsidR="002C5F85" w:rsidRPr="00EE3D94" w:rsidRDefault="002C5F85" w:rsidP="00300E0E">
      <w:pPr>
        <w:jc w:val="both"/>
        <w:rPr>
          <w:sz w:val="20"/>
          <w:szCs w:val="20"/>
          <w:lang w:val="es-ES_tradnl"/>
        </w:rPr>
      </w:pPr>
    </w:p>
    <w:p w14:paraId="340A64D6" w14:textId="77777777" w:rsidR="002F4E6C" w:rsidRPr="00E43AA5" w:rsidRDefault="00F20508" w:rsidP="00E43AA5">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t>Rendición de cuentas vertical</w:t>
      </w:r>
    </w:p>
    <w:p w14:paraId="0DCB4534" w14:textId="7F05F9FC" w:rsidR="00F20508" w:rsidRPr="00EE3D94" w:rsidRDefault="00517790" w:rsidP="006735A7">
      <w:pPr>
        <w:pStyle w:val="Cuerpo"/>
        <w:spacing w:before="120" w:after="120" w:line="360" w:lineRule="auto"/>
        <w:ind w:firstLine="708"/>
        <w:jc w:val="both"/>
        <w:rPr>
          <w:rFonts w:hAnsi="Times New Roman" w:cs="Times New Roman"/>
        </w:rPr>
      </w:pPr>
      <w:r w:rsidRPr="00EE3D94">
        <w:rPr>
          <w:rFonts w:hAnsi="Times New Roman" w:cs="Times New Roman"/>
        </w:rPr>
        <w:t>O’Donnell (1998</w:t>
      </w:r>
      <w:r w:rsidR="005D69CF">
        <w:rPr>
          <w:rFonts w:hAnsi="Times New Roman" w:cs="Times New Roman"/>
        </w:rPr>
        <w:t>;</w:t>
      </w:r>
      <w:r w:rsidR="00A35727" w:rsidRPr="00EE3D94">
        <w:rPr>
          <w:rFonts w:hAnsi="Times New Roman" w:cs="Times New Roman"/>
        </w:rPr>
        <w:t xml:space="preserve"> 2007</w:t>
      </w:r>
      <w:r w:rsidRPr="00EE3D94">
        <w:rPr>
          <w:rFonts w:hAnsi="Times New Roman" w:cs="Times New Roman"/>
        </w:rPr>
        <w:t xml:space="preserve">) </w:t>
      </w:r>
      <w:r w:rsidR="00E3089D" w:rsidRPr="00EE3D94">
        <w:rPr>
          <w:rFonts w:hAnsi="Times New Roman" w:cs="Times New Roman"/>
        </w:rPr>
        <w:t xml:space="preserve">subdivide </w:t>
      </w:r>
      <w:r w:rsidR="005D69CF">
        <w:rPr>
          <w:rFonts w:hAnsi="Times New Roman" w:cs="Times New Roman"/>
        </w:rPr>
        <w:t xml:space="preserve">la rendición de cuentas vertical </w:t>
      </w:r>
      <w:r w:rsidR="00E3089D" w:rsidRPr="00EE3D94">
        <w:rPr>
          <w:rFonts w:hAnsi="Times New Roman" w:cs="Times New Roman"/>
        </w:rPr>
        <w:t xml:space="preserve">en electoral y social. </w:t>
      </w:r>
      <w:r w:rsidR="00FE78CA" w:rsidRPr="00EE3D94">
        <w:rPr>
          <w:rFonts w:hAnsi="Times New Roman" w:cs="Times New Roman"/>
        </w:rPr>
        <w:t xml:space="preserve"> </w:t>
      </w:r>
      <w:r w:rsidR="00E3089D" w:rsidRPr="00EE3D94">
        <w:rPr>
          <w:rFonts w:hAnsi="Times New Roman" w:cs="Times New Roman"/>
        </w:rPr>
        <w:t xml:space="preserve">El </w:t>
      </w:r>
      <w:r w:rsidR="00FE78CA" w:rsidRPr="00EE3D94">
        <w:rPr>
          <w:rFonts w:hAnsi="Times New Roman" w:cs="Times New Roman"/>
        </w:rPr>
        <w:t xml:space="preserve">primer </w:t>
      </w:r>
      <w:r w:rsidR="00E3089D" w:rsidRPr="00EE3D94">
        <w:rPr>
          <w:rFonts w:hAnsi="Times New Roman" w:cs="Times New Roman"/>
        </w:rPr>
        <w:t>subtipo lo entiende como el mecanismo que utilizan los ciudadanos para sancionar o castigar a los gobernantes a través del voto. No obstante, este tipo de rendición de cuentas es más efectivo si la reelección de los legisladores es permitida y</w:t>
      </w:r>
      <w:r w:rsidR="005D69CF">
        <w:rPr>
          <w:rFonts w:hAnsi="Times New Roman" w:cs="Times New Roman"/>
        </w:rPr>
        <w:t>,</w:t>
      </w:r>
      <w:r w:rsidR="00E3089D" w:rsidRPr="00EE3D94">
        <w:rPr>
          <w:rFonts w:hAnsi="Times New Roman" w:cs="Times New Roman"/>
        </w:rPr>
        <w:t xml:space="preserve"> si</w:t>
      </w:r>
      <w:r w:rsidR="007E2AD3">
        <w:rPr>
          <w:rFonts w:hAnsi="Times New Roman" w:cs="Times New Roman"/>
        </w:rPr>
        <w:t>,</w:t>
      </w:r>
      <w:r w:rsidR="00E3089D" w:rsidRPr="00EE3D94">
        <w:rPr>
          <w:rFonts w:hAnsi="Times New Roman" w:cs="Times New Roman"/>
        </w:rPr>
        <w:t xml:space="preserve"> además, el ciudadano cuenta con información suficiente de su legislador para evaluar su desempeño, antecedentes </w:t>
      </w:r>
      <w:r w:rsidR="00C55362" w:rsidRPr="00EE3D94">
        <w:rPr>
          <w:rFonts w:hAnsi="Times New Roman" w:cs="Times New Roman"/>
        </w:rPr>
        <w:t>y hasta</w:t>
      </w:r>
      <w:r w:rsidR="00E3089D" w:rsidRPr="00EE3D94">
        <w:rPr>
          <w:rFonts w:hAnsi="Times New Roman" w:cs="Times New Roman"/>
        </w:rPr>
        <w:t xml:space="preserve"> capacidades. Tanto </w:t>
      </w:r>
      <w:r w:rsidR="00E3089D" w:rsidRPr="00EE3D94">
        <w:rPr>
          <w:rFonts w:hAnsi="Times New Roman" w:cs="Times New Roman"/>
          <w:i/>
        </w:rPr>
        <w:t>la reelección</w:t>
      </w:r>
      <w:r w:rsidR="00E3089D" w:rsidRPr="00EE3D94">
        <w:rPr>
          <w:rFonts w:hAnsi="Times New Roman" w:cs="Times New Roman"/>
        </w:rPr>
        <w:t xml:space="preserve"> como el </w:t>
      </w:r>
      <w:r w:rsidR="00E3089D" w:rsidRPr="00EE3D94">
        <w:rPr>
          <w:rFonts w:hAnsi="Times New Roman" w:cs="Times New Roman"/>
          <w:i/>
        </w:rPr>
        <w:t>acceso a la información</w:t>
      </w:r>
      <w:r w:rsidR="00E3089D" w:rsidRPr="00EE3D94">
        <w:rPr>
          <w:rFonts w:hAnsi="Times New Roman" w:cs="Times New Roman"/>
        </w:rPr>
        <w:t xml:space="preserve"> son dos instrumentos que los votantes deben tener garantizados para ejercer control electoral sobre sus representantes.</w:t>
      </w:r>
    </w:p>
    <w:p w14:paraId="4A2A9F1A" w14:textId="77777777" w:rsidR="00401330" w:rsidRPr="00E43AA5" w:rsidRDefault="00401330" w:rsidP="00E75702">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t>La reelección como control ciudadano</w:t>
      </w:r>
    </w:p>
    <w:p w14:paraId="60267FA9" w14:textId="2F3E191B" w:rsidR="00401330" w:rsidRPr="00EE3D94" w:rsidRDefault="00401330"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Hablar de reelección legislativa implica remitirse a los orígenes de la representación parlamentaria y, por lo tanto, al propósito principal de </w:t>
      </w:r>
      <w:r w:rsidR="005D69CF">
        <w:rPr>
          <w:rFonts w:hAnsi="Times New Roman" w:cs="Times New Roman"/>
        </w:rPr>
        <w:t>e</w:t>
      </w:r>
      <w:r w:rsidR="005D69CF" w:rsidRPr="00EE3D94">
        <w:rPr>
          <w:rFonts w:hAnsi="Times New Roman" w:cs="Times New Roman"/>
        </w:rPr>
        <w:t>sta</w:t>
      </w:r>
      <w:r w:rsidRPr="00EE3D94">
        <w:rPr>
          <w:rFonts w:hAnsi="Times New Roman" w:cs="Times New Roman"/>
        </w:rPr>
        <w:t>, que es servir a los electores. Este derecho</w:t>
      </w:r>
      <w:r w:rsidR="005D69CF">
        <w:rPr>
          <w:rFonts w:hAnsi="Times New Roman" w:cs="Times New Roman"/>
        </w:rPr>
        <w:t>,</w:t>
      </w:r>
      <w:r w:rsidRPr="00EE3D94">
        <w:rPr>
          <w:rFonts w:hAnsi="Times New Roman" w:cs="Times New Roman"/>
        </w:rPr>
        <w:t xml:space="preserve"> investido por el manto del voto popular, entraña dos aspectos: </w:t>
      </w:r>
      <w:r w:rsidRPr="00F84B32">
        <w:rPr>
          <w:rFonts w:hAnsi="Times New Roman" w:cs="Times New Roman"/>
        </w:rPr>
        <w:t>el sentido de responsabilidad frente a los ciudadanos (rendición de cuentas) y la experiencia acumulada</w:t>
      </w:r>
      <w:r w:rsidRPr="00EE3D94">
        <w:rPr>
          <w:rFonts w:hAnsi="Times New Roman" w:cs="Times New Roman"/>
        </w:rPr>
        <w:t xml:space="preserve"> como parte de la fortaleza institucional del Poder Legislativo frente a la complejidad y a la especialización </w:t>
      </w:r>
      <w:r w:rsidR="002C5F85" w:rsidRPr="00EE3D94">
        <w:rPr>
          <w:rFonts w:hAnsi="Times New Roman" w:cs="Times New Roman"/>
        </w:rPr>
        <w:t xml:space="preserve">de las decisiones públicas y </w:t>
      </w:r>
      <w:r w:rsidRPr="00EE3D94">
        <w:rPr>
          <w:rFonts w:hAnsi="Times New Roman" w:cs="Times New Roman"/>
        </w:rPr>
        <w:t>las tareas parlamentarias.</w:t>
      </w:r>
    </w:p>
    <w:p w14:paraId="3FFC60B8" w14:textId="7B8F5383" w:rsidR="00EF7654" w:rsidRPr="00EE3D94" w:rsidRDefault="00EF7654" w:rsidP="006735A7">
      <w:pPr>
        <w:pStyle w:val="Cuerpo"/>
        <w:spacing w:before="120" w:after="120" w:line="360" w:lineRule="auto"/>
        <w:ind w:firstLine="708"/>
        <w:jc w:val="both"/>
        <w:rPr>
          <w:rFonts w:hAnsi="Times New Roman" w:cs="Times New Roman"/>
        </w:rPr>
      </w:pPr>
      <w:r w:rsidRPr="00EE3D94">
        <w:rPr>
          <w:rFonts w:hAnsi="Times New Roman" w:cs="Times New Roman"/>
        </w:rPr>
        <w:t>Respecto a la experiencia acumulada</w:t>
      </w:r>
      <w:r w:rsidR="005D69CF">
        <w:rPr>
          <w:rFonts w:hAnsi="Times New Roman" w:cs="Times New Roman"/>
        </w:rPr>
        <w:t>,</w:t>
      </w:r>
      <w:r w:rsidRPr="00EE3D94">
        <w:rPr>
          <w:rFonts w:hAnsi="Times New Roman" w:cs="Times New Roman"/>
        </w:rPr>
        <w:t xml:space="preserve"> son pocos los países latinoamericanos que mantienen niveles constantes de permanencia en el cargo</w:t>
      </w:r>
      <w:r w:rsidR="00C55362" w:rsidRPr="00EE3D94">
        <w:rPr>
          <w:rFonts w:hAnsi="Times New Roman" w:cs="Times New Roman"/>
        </w:rPr>
        <w:t>.</w:t>
      </w:r>
      <w:r w:rsidR="002C5F85" w:rsidRPr="00EE3D94">
        <w:rPr>
          <w:rFonts w:hAnsi="Times New Roman" w:cs="Times New Roman"/>
        </w:rPr>
        <w:t xml:space="preserve"> Como puede observarse en la gráfica uno,</w:t>
      </w:r>
      <w:r w:rsidRPr="00EE3D94">
        <w:rPr>
          <w:rFonts w:hAnsi="Times New Roman" w:cs="Times New Roman"/>
        </w:rPr>
        <w:t xml:space="preserve"> </w:t>
      </w:r>
      <w:r w:rsidR="002C5F85" w:rsidRPr="00EE3D94">
        <w:rPr>
          <w:rFonts w:hAnsi="Times New Roman" w:cs="Times New Roman"/>
        </w:rPr>
        <w:t xml:space="preserve">de acuerdo con el Observatorio del Poder Legislativo en América Latina </w:t>
      </w:r>
      <w:r w:rsidR="00B13AC6">
        <w:rPr>
          <w:rFonts w:hAnsi="Times New Roman" w:cs="Times New Roman"/>
        </w:rPr>
        <w:t>-</w:t>
      </w:r>
      <w:r w:rsidR="002C5F85" w:rsidRPr="00EE3D94">
        <w:rPr>
          <w:rFonts w:hAnsi="Times New Roman" w:cs="Times New Roman"/>
        </w:rPr>
        <w:t>como uno de los primeros en contabilizar la actividad legislativa</w:t>
      </w:r>
      <w:r w:rsidR="00B13AC6">
        <w:rPr>
          <w:rFonts w:hAnsi="Times New Roman" w:cs="Times New Roman"/>
        </w:rPr>
        <w:t>-</w:t>
      </w:r>
      <w:r w:rsidR="002C5F85" w:rsidRPr="00EE3D94">
        <w:rPr>
          <w:rFonts w:hAnsi="Times New Roman" w:cs="Times New Roman"/>
        </w:rPr>
        <w:t xml:space="preserve">, </w:t>
      </w:r>
      <w:r w:rsidRPr="00EE3D94">
        <w:rPr>
          <w:rFonts w:hAnsi="Times New Roman" w:cs="Times New Roman"/>
        </w:rPr>
        <w:t xml:space="preserve">Chile, Argentina y Brasil, en </w:t>
      </w:r>
      <w:r w:rsidRPr="00EE3D94">
        <w:rPr>
          <w:rFonts w:hAnsi="Times New Roman" w:cs="Times New Roman"/>
        </w:rPr>
        <w:lastRenderedPageBreak/>
        <w:t>un periodo de 1995 a 2008, mant</w:t>
      </w:r>
      <w:r w:rsidR="00A62F7F" w:rsidRPr="00EE3D94">
        <w:rPr>
          <w:rFonts w:hAnsi="Times New Roman" w:cs="Times New Roman"/>
        </w:rPr>
        <w:t>uvieron</w:t>
      </w:r>
      <w:r w:rsidRPr="00EE3D94">
        <w:rPr>
          <w:rFonts w:hAnsi="Times New Roman" w:cs="Times New Roman"/>
        </w:rPr>
        <w:t xml:space="preserve"> un promedio por encima de 50</w:t>
      </w:r>
      <w:r w:rsidR="00B13AC6">
        <w:rPr>
          <w:rFonts w:hAnsi="Times New Roman" w:cs="Times New Roman"/>
        </w:rPr>
        <w:t xml:space="preserve"> </w:t>
      </w:r>
      <w:r w:rsidRPr="00EE3D94">
        <w:rPr>
          <w:rFonts w:hAnsi="Times New Roman" w:cs="Times New Roman"/>
        </w:rPr>
        <w:t xml:space="preserve">% de </w:t>
      </w:r>
      <w:r w:rsidRPr="00F84B32">
        <w:rPr>
          <w:rFonts w:hAnsi="Times New Roman" w:cs="Times New Roman"/>
        </w:rPr>
        <w:t>legisladores que han sido reelectos en la cámara baja</w:t>
      </w:r>
      <w:r w:rsidR="00B13AC6">
        <w:rPr>
          <w:rFonts w:hAnsi="Times New Roman" w:cs="Times New Roman"/>
        </w:rPr>
        <w:t>,</w:t>
      </w:r>
      <w:r w:rsidR="00B13AC6" w:rsidRPr="00EE3D94">
        <w:rPr>
          <w:rFonts w:hAnsi="Times New Roman" w:cs="Times New Roman"/>
        </w:rPr>
        <w:t xml:space="preserve"> </w:t>
      </w:r>
      <w:r w:rsidRPr="00EE3D94">
        <w:rPr>
          <w:rFonts w:hAnsi="Times New Roman" w:cs="Times New Roman"/>
        </w:rPr>
        <w:t xml:space="preserve">mientras </w:t>
      </w:r>
      <w:r w:rsidR="00B13AC6">
        <w:rPr>
          <w:rFonts w:hAnsi="Times New Roman" w:cs="Times New Roman"/>
        </w:rPr>
        <w:t xml:space="preserve">que </w:t>
      </w:r>
      <w:r w:rsidRPr="00EE3D94">
        <w:rPr>
          <w:rFonts w:hAnsi="Times New Roman" w:cs="Times New Roman"/>
        </w:rPr>
        <w:t>países como México</w:t>
      </w:r>
      <w:r w:rsidR="00903E1F" w:rsidRPr="00EE3D94">
        <w:rPr>
          <w:rFonts w:hAnsi="Times New Roman" w:cs="Times New Roman"/>
        </w:rPr>
        <w:t>, Costa Rica</w:t>
      </w:r>
      <w:r w:rsidRPr="00EE3D94">
        <w:rPr>
          <w:rFonts w:hAnsi="Times New Roman" w:cs="Times New Roman"/>
        </w:rPr>
        <w:t xml:space="preserve"> (con reelección no consecutiva</w:t>
      </w:r>
      <w:r w:rsidR="00B13AC6" w:rsidRPr="00EE3D94">
        <w:rPr>
          <w:rFonts w:hAnsi="Times New Roman" w:cs="Times New Roman"/>
        </w:rPr>
        <w:t>)</w:t>
      </w:r>
      <w:r w:rsidR="00B13AC6">
        <w:rPr>
          <w:rFonts w:hAnsi="Times New Roman" w:cs="Times New Roman"/>
        </w:rPr>
        <w:t>,</w:t>
      </w:r>
      <w:r w:rsidR="00B13AC6" w:rsidRPr="00EE3D94">
        <w:rPr>
          <w:rFonts w:hAnsi="Times New Roman" w:cs="Times New Roman"/>
        </w:rPr>
        <w:t xml:space="preserve"> </w:t>
      </w:r>
      <w:r w:rsidRPr="00EE3D94">
        <w:rPr>
          <w:rFonts w:hAnsi="Times New Roman" w:cs="Times New Roman"/>
        </w:rPr>
        <w:t xml:space="preserve">Bolivia, Ecuador y Guatemala registran  </w:t>
      </w:r>
      <w:r w:rsidR="00E75805" w:rsidRPr="00EE3D94">
        <w:rPr>
          <w:rFonts w:hAnsi="Times New Roman" w:cs="Times New Roman"/>
        </w:rPr>
        <w:t xml:space="preserve">los </w:t>
      </w:r>
      <w:r w:rsidRPr="00EE3D94">
        <w:rPr>
          <w:rFonts w:hAnsi="Times New Roman" w:cs="Times New Roman"/>
        </w:rPr>
        <w:t xml:space="preserve">promedios </w:t>
      </w:r>
      <w:r w:rsidR="00E75805" w:rsidRPr="00EE3D94">
        <w:rPr>
          <w:rFonts w:hAnsi="Times New Roman" w:cs="Times New Roman"/>
        </w:rPr>
        <w:t xml:space="preserve">más reducidos </w:t>
      </w:r>
      <w:r w:rsidRPr="00EE3D94">
        <w:rPr>
          <w:rFonts w:hAnsi="Times New Roman" w:cs="Times New Roman"/>
        </w:rPr>
        <w:t xml:space="preserve">que oscilan entre el </w:t>
      </w:r>
      <w:r w:rsidR="00903E1F" w:rsidRPr="00EE3D94">
        <w:rPr>
          <w:rFonts w:hAnsi="Times New Roman" w:cs="Times New Roman"/>
        </w:rPr>
        <w:t>3</w:t>
      </w:r>
      <w:r w:rsidRPr="00EE3D94">
        <w:rPr>
          <w:rFonts w:hAnsi="Times New Roman" w:cs="Times New Roman"/>
        </w:rPr>
        <w:t xml:space="preserve"> y 13</w:t>
      </w:r>
      <w:r w:rsidR="00B13AC6">
        <w:rPr>
          <w:rFonts w:hAnsi="Times New Roman" w:cs="Times New Roman"/>
        </w:rPr>
        <w:t xml:space="preserve"> </w:t>
      </w:r>
      <w:r w:rsidRPr="00EE3D94">
        <w:rPr>
          <w:rFonts w:hAnsi="Times New Roman" w:cs="Times New Roman"/>
        </w:rPr>
        <w:t>% de integrantes reele</w:t>
      </w:r>
      <w:r w:rsidR="00E75805" w:rsidRPr="00EE3D94">
        <w:rPr>
          <w:rFonts w:hAnsi="Times New Roman" w:cs="Times New Roman"/>
        </w:rPr>
        <w:t xml:space="preserve">ctos </w:t>
      </w:r>
      <w:r w:rsidR="00793082" w:rsidRPr="00EE3D94">
        <w:rPr>
          <w:rFonts w:hAnsi="Times New Roman" w:cs="Times New Roman"/>
        </w:rPr>
        <w:t xml:space="preserve">o reincidentes (para aquellos países sin reelección consecutiva) </w:t>
      </w:r>
      <w:r w:rsidR="00E75805" w:rsidRPr="00EE3D94">
        <w:rPr>
          <w:rFonts w:hAnsi="Times New Roman" w:cs="Times New Roman"/>
        </w:rPr>
        <w:t>en el mismo cargo. La reelección en el senado</w:t>
      </w:r>
      <w:r w:rsidR="00B13AC6">
        <w:rPr>
          <w:rFonts w:hAnsi="Times New Roman" w:cs="Times New Roman"/>
        </w:rPr>
        <w:t>,</w:t>
      </w:r>
      <w:r w:rsidR="00E75805" w:rsidRPr="00EE3D94">
        <w:rPr>
          <w:rFonts w:hAnsi="Times New Roman" w:cs="Times New Roman"/>
        </w:rPr>
        <w:t xml:space="preserve"> </w:t>
      </w:r>
      <w:r w:rsidR="00903E1F" w:rsidRPr="00EE3D94">
        <w:rPr>
          <w:rFonts w:hAnsi="Times New Roman" w:cs="Times New Roman"/>
        </w:rPr>
        <w:t>en sistemas bicamerales</w:t>
      </w:r>
      <w:r w:rsidR="00C55362" w:rsidRPr="00EE3D94">
        <w:rPr>
          <w:rFonts w:hAnsi="Times New Roman" w:cs="Times New Roman"/>
        </w:rPr>
        <w:t xml:space="preserve"> para la región</w:t>
      </w:r>
      <w:r w:rsidR="00B13AC6">
        <w:rPr>
          <w:rFonts w:hAnsi="Times New Roman" w:cs="Times New Roman"/>
        </w:rPr>
        <w:t>,</w:t>
      </w:r>
      <w:r w:rsidR="00903E1F" w:rsidRPr="00EE3D94">
        <w:rPr>
          <w:rFonts w:hAnsi="Times New Roman" w:cs="Times New Roman"/>
        </w:rPr>
        <w:t xml:space="preserve"> </w:t>
      </w:r>
      <w:r w:rsidR="00E75805" w:rsidRPr="00EE3D94">
        <w:rPr>
          <w:rFonts w:hAnsi="Times New Roman" w:cs="Times New Roman"/>
        </w:rPr>
        <w:t>es simil</w:t>
      </w:r>
      <w:r w:rsidR="002C5F85" w:rsidRPr="00EE3D94">
        <w:rPr>
          <w:rFonts w:hAnsi="Times New Roman" w:cs="Times New Roman"/>
        </w:rPr>
        <w:t>ar con algunos ajustes al alza.</w:t>
      </w:r>
    </w:p>
    <w:p w14:paraId="50174304" w14:textId="54529D5A" w:rsidR="00A62F7F" w:rsidRPr="006735A7" w:rsidRDefault="00A62F7F" w:rsidP="00D7071B">
      <w:pPr>
        <w:pStyle w:val="Descripcin"/>
        <w:keepNext/>
        <w:jc w:val="center"/>
        <w:rPr>
          <w:b w:val="0"/>
          <w:color w:val="auto"/>
          <w:sz w:val="24"/>
          <w:szCs w:val="20"/>
          <w:lang w:val="es-ES_tradnl"/>
        </w:rPr>
      </w:pPr>
      <w:r w:rsidRPr="006735A7">
        <w:rPr>
          <w:color w:val="auto"/>
          <w:sz w:val="24"/>
          <w:szCs w:val="20"/>
          <w:lang w:val="es-ES_tradnl"/>
        </w:rPr>
        <w:t>Gráfica 1</w:t>
      </w:r>
      <w:r w:rsidR="00D7071B">
        <w:rPr>
          <w:b w:val="0"/>
          <w:color w:val="auto"/>
          <w:sz w:val="24"/>
          <w:szCs w:val="20"/>
          <w:lang w:val="es-ES_tradnl"/>
        </w:rPr>
        <w:t xml:space="preserve">. </w:t>
      </w:r>
      <w:r w:rsidRPr="006735A7">
        <w:rPr>
          <w:b w:val="0"/>
          <w:i/>
          <w:color w:val="auto"/>
          <w:sz w:val="24"/>
          <w:szCs w:val="20"/>
          <w:lang w:val="es-ES_tradnl"/>
        </w:rPr>
        <w:t xml:space="preserve">Reelección </w:t>
      </w:r>
      <w:r w:rsidR="00B13AC6" w:rsidRPr="006735A7">
        <w:rPr>
          <w:b w:val="0"/>
          <w:i/>
          <w:color w:val="auto"/>
          <w:sz w:val="24"/>
          <w:szCs w:val="20"/>
          <w:lang w:val="es-ES_tradnl"/>
        </w:rPr>
        <w:t xml:space="preserve">legislativa </w:t>
      </w:r>
      <w:r w:rsidRPr="006735A7">
        <w:rPr>
          <w:b w:val="0"/>
          <w:i/>
          <w:color w:val="auto"/>
          <w:sz w:val="24"/>
          <w:szCs w:val="20"/>
          <w:lang w:val="es-ES_tradnl"/>
        </w:rPr>
        <w:t>en América Latina</w:t>
      </w:r>
    </w:p>
    <w:p w14:paraId="2772D7EE" w14:textId="77777777" w:rsidR="004A2AE6" w:rsidRPr="00EE3D94" w:rsidRDefault="004A2AE6" w:rsidP="00401330">
      <w:pPr>
        <w:pStyle w:val="Cuerpo"/>
        <w:spacing w:before="120" w:after="120" w:line="360" w:lineRule="auto"/>
        <w:jc w:val="both"/>
        <w:rPr>
          <w:rFonts w:hAnsi="Times New Roman" w:cs="Times New Roman"/>
          <w:sz w:val="20"/>
          <w:szCs w:val="20"/>
        </w:rPr>
      </w:pPr>
      <w:r w:rsidRPr="00EE3D94">
        <w:rPr>
          <w:rFonts w:hAnsi="Times New Roman" w:cs="Times New Roman"/>
          <w:noProof/>
          <w:sz w:val="20"/>
          <w:szCs w:val="20"/>
          <w:lang w:val="es-ES" w:eastAsia="es-ES"/>
        </w:rPr>
        <w:drawing>
          <wp:inline distT="0" distB="0" distL="0" distR="0" wp14:anchorId="15639D49" wp14:editId="2F5EFA00">
            <wp:extent cx="5486400" cy="32004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D29961" w14:textId="327C1999" w:rsidR="000359C7" w:rsidRPr="006735A7" w:rsidRDefault="000359C7" w:rsidP="00D7071B">
      <w:pPr>
        <w:pStyle w:val="Cuerpo"/>
        <w:spacing w:before="120" w:after="120"/>
        <w:jc w:val="center"/>
        <w:rPr>
          <w:rFonts w:hAnsi="Times New Roman" w:cs="Times New Roman"/>
        </w:rPr>
      </w:pPr>
      <w:r w:rsidRPr="006735A7">
        <w:rPr>
          <w:rFonts w:hAnsi="Times New Roman" w:cs="Times New Roman"/>
        </w:rPr>
        <w:t>Fuente: Elaboración propia con base en Legislatina. Observatorio del Poder Legislativo en América Latina</w:t>
      </w:r>
      <w:r w:rsidR="00604DC9" w:rsidRPr="006735A7">
        <w:rPr>
          <w:rFonts w:hAnsi="Times New Roman" w:cs="Times New Roman"/>
        </w:rPr>
        <w:t xml:space="preserve"> en línea</w:t>
      </w:r>
      <w:r w:rsidRPr="006735A7">
        <w:rPr>
          <w:rFonts w:hAnsi="Times New Roman" w:cs="Times New Roman"/>
        </w:rPr>
        <w:t xml:space="preserve">, </w:t>
      </w:r>
      <w:r w:rsidRPr="00D7071B">
        <w:rPr>
          <w:rFonts w:hAnsi="Times New Roman" w:cs="Times New Roman"/>
        </w:rPr>
        <w:t>http://americo.usal.es/oir/legislatina/reelección.htm</w:t>
      </w:r>
    </w:p>
    <w:p w14:paraId="595308DC" w14:textId="77777777" w:rsidR="000359C7" w:rsidRPr="00EE3D94" w:rsidRDefault="000359C7" w:rsidP="00401330">
      <w:pPr>
        <w:pStyle w:val="Cuerpo"/>
        <w:spacing w:before="120" w:after="120" w:line="360" w:lineRule="auto"/>
        <w:jc w:val="both"/>
        <w:rPr>
          <w:rFonts w:hAnsi="Times New Roman" w:cs="Times New Roman"/>
        </w:rPr>
      </w:pPr>
    </w:p>
    <w:p w14:paraId="6187CC0B" w14:textId="32940385" w:rsidR="002C7F2D" w:rsidRPr="00EE3D94" w:rsidRDefault="009C6465" w:rsidP="006735A7">
      <w:pPr>
        <w:spacing w:line="360" w:lineRule="auto"/>
        <w:ind w:firstLine="708"/>
        <w:jc w:val="both"/>
        <w:rPr>
          <w:lang w:val="es-ES_tradnl"/>
        </w:rPr>
      </w:pPr>
      <w:r w:rsidRPr="00EE3D94">
        <w:rPr>
          <w:lang w:val="es-ES_tradnl"/>
        </w:rPr>
        <w:t xml:space="preserve">La carencia de experiencia acumulada por </w:t>
      </w:r>
      <w:r w:rsidR="002C7F2D" w:rsidRPr="00EE3D94">
        <w:rPr>
          <w:lang w:val="es-ES_tradnl"/>
        </w:rPr>
        <w:t>la vía de la reelección en países latinoamericanos ha limitado la profesionalización y especialización legislativa</w:t>
      </w:r>
      <w:r w:rsidR="00D560C0">
        <w:rPr>
          <w:lang w:val="es-ES_tradnl"/>
        </w:rPr>
        <w:t>.</w:t>
      </w:r>
      <w:r w:rsidR="00D560C0" w:rsidRPr="00EE3D94">
        <w:rPr>
          <w:lang w:val="es-ES_tradnl"/>
        </w:rPr>
        <w:t xml:space="preserve"> </w:t>
      </w:r>
      <w:r w:rsidR="00D560C0">
        <w:rPr>
          <w:lang w:val="es-ES_tradnl"/>
        </w:rPr>
        <w:t>D</w:t>
      </w:r>
      <w:r w:rsidR="00D560C0" w:rsidRPr="00EE3D94">
        <w:rPr>
          <w:lang w:val="es-ES_tradnl"/>
        </w:rPr>
        <w:t xml:space="preserve">e </w:t>
      </w:r>
      <w:r w:rsidR="002C7F2D" w:rsidRPr="00EE3D94">
        <w:rPr>
          <w:lang w:val="es-ES_tradnl"/>
        </w:rPr>
        <w:t xml:space="preserve">ahí que Carey (2006) afirme que </w:t>
      </w:r>
      <w:r w:rsidR="002C7F2D" w:rsidRPr="00F84B32">
        <w:rPr>
          <w:lang w:val="es-ES_tradnl"/>
        </w:rPr>
        <w:t xml:space="preserve">restringir la reelección legislativa elimina la posibilidad de hacer una carrera al interior del </w:t>
      </w:r>
      <w:r w:rsidR="000A265C">
        <w:rPr>
          <w:lang w:val="es-ES_tradnl"/>
        </w:rPr>
        <w:t>C</w:t>
      </w:r>
      <w:r w:rsidR="000A265C" w:rsidRPr="00F84B32">
        <w:rPr>
          <w:lang w:val="es-ES_tradnl"/>
        </w:rPr>
        <w:t>ongreso</w:t>
      </w:r>
      <w:r w:rsidR="00D560C0">
        <w:rPr>
          <w:lang w:val="es-ES_tradnl"/>
        </w:rPr>
        <w:t xml:space="preserve"> y</w:t>
      </w:r>
      <w:r w:rsidR="00D560C0" w:rsidRPr="00EE3D94">
        <w:rPr>
          <w:lang w:val="es-ES_tradnl"/>
        </w:rPr>
        <w:t xml:space="preserve"> </w:t>
      </w:r>
      <w:r w:rsidR="002C7F2D" w:rsidRPr="00EE3D94">
        <w:rPr>
          <w:lang w:val="es-ES_tradnl"/>
        </w:rPr>
        <w:t>permite que el futuro profesional de los legisladores esté en manos de los partidos políticos -en la medida que controlan las carreras políticas de sus integrantes- y no del electorado; sus decisiones dependen entonces del cálculo electoral antes que interesarse e informarse d</w:t>
      </w:r>
      <w:r w:rsidR="00BE381B" w:rsidRPr="00EE3D94">
        <w:rPr>
          <w:lang w:val="es-ES_tradnl"/>
        </w:rPr>
        <w:t>e las políticas gubernamentales</w:t>
      </w:r>
      <w:r w:rsidR="002C7F2D" w:rsidRPr="00EE3D94">
        <w:rPr>
          <w:lang w:val="es-ES_tradnl"/>
        </w:rPr>
        <w:t>.</w:t>
      </w:r>
    </w:p>
    <w:p w14:paraId="31AB9FF5" w14:textId="75B9EED2" w:rsidR="009C6465" w:rsidRPr="00EE3D94" w:rsidRDefault="007C475F" w:rsidP="006735A7">
      <w:pPr>
        <w:spacing w:line="360" w:lineRule="auto"/>
        <w:ind w:firstLine="708"/>
        <w:jc w:val="both"/>
        <w:rPr>
          <w:lang w:val="es-ES_tradnl"/>
        </w:rPr>
      </w:pPr>
      <w:r>
        <w:rPr>
          <w:lang w:val="es-ES_tradnl"/>
        </w:rPr>
        <w:lastRenderedPageBreak/>
        <w:t>Se puede</w:t>
      </w:r>
      <w:r w:rsidRPr="00EE3D94">
        <w:rPr>
          <w:lang w:val="es-ES_tradnl"/>
        </w:rPr>
        <w:t xml:space="preserve"> </w:t>
      </w:r>
      <w:r w:rsidR="002C7F2D" w:rsidRPr="00EE3D94">
        <w:rPr>
          <w:lang w:val="es-ES_tradnl"/>
        </w:rPr>
        <w:t xml:space="preserve">decir que la comunidad académica ha debatido y coincidido en que la </w:t>
      </w:r>
      <w:r w:rsidR="002C7F2D" w:rsidRPr="00F84B32">
        <w:rPr>
          <w:lang w:val="es-ES_tradnl"/>
        </w:rPr>
        <w:t>profesionalización de la función legislativa es producto de la experiencia acumulada de los legisladores</w:t>
      </w:r>
      <w:r>
        <w:rPr>
          <w:lang w:val="es-ES_tradnl"/>
        </w:rPr>
        <w:t>.</w:t>
      </w:r>
      <w:r w:rsidR="002C7F2D" w:rsidRPr="00EE3D94">
        <w:rPr>
          <w:lang w:val="es-ES_tradnl"/>
        </w:rPr>
        <w:t xml:space="preserve"> </w:t>
      </w:r>
      <w:r>
        <w:rPr>
          <w:lang w:val="es-ES_tradnl"/>
        </w:rPr>
        <w:t>S</w:t>
      </w:r>
      <w:r w:rsidRPr="00EE3D94">
        <w:rPr>
          <w:lang w:val="es-ES_tradnl"/>
        </w:rPr>
        <w:t xml:space="preserve">in </w:t>
      </w:r>
      <w:r w:rsidR="002C7F2D" w:rsidRPr="00EE3D94">
        <w:rPr>
          <w:lang w:val="es-ES_tradnl"/>
        </w:rPr>
        <w:t>embargo,¿ es suficiente la reelección legislativa y la experiencia para garantizar la rendición de cuentas? La respuesta a esta pregunta representa dos vertientes</w:t>
      </w:r>
      <w:r>
        <w:rPr>
          <w:lang w:val="es-ES_tradnl"/>
        </w:rPr>
        <w:t>:</w:t>
      </w:r>
      <w:r w:rsidRPr="00EE3D94">
        <w:rPr>
          <w:lang w:val="es-ES_tradnl"/>
        </w:rPr>
        <w:t xml:space="preserve"> </w:t>
      </w:r>
      <w:r w:rsidR="002C7F2D" w:rsidRPr="00EE3D94">
        <w:rPr>
          <w:lang w:val="es-ES_tradnl"/>
        </w:rPr>
        <w:t>los que aceptan que la reelección consecutiva “cultiva la capacidad de los legisladores”, enriquece la experiencia de los mismos y</w:t>
      </w:r>
      <w:r>
        <w:rPr>
          <w:lang w:val="es-ES_tradnl"/>
        </w:rPr>
        <w:t>,</w:t>
      </w:r>
      <w:r w:rsidR="002C7F2D" w:rsidRPr="00EE3D94">
        <w:rPr>
          <w:lang w:val="es-ES_tradnl"/>
        </w:rPr>
        <w:t xml:space="preserve"> por tanto, favorece la profesionalización al tiempo que fomenta la responsabilidad y la rendición de cuentas (Campos, 200</w:t>
      </w:r>
      <w:r w:rsidR="00A35727" w:rsidRPr="00EE3D94">
        <w:rPr>
          <w:lang w:val="es-ES_tradnl"/>
        </w:rPr>
        <w:t>3</w:t>
      </w:r>
      <w:r w:rsidR="002C7F2D" w:rsidRPr="00EE3D94">
        <w:rPr>
          <w:lang w:val="es-ES_tradnl"/>
        </w:rPr>
        <w:t>; Valadés, 200</w:t>
      </w:r>
      <w:r w:rsidR="00A35727" w:rsidRPr="00EE3D94">
        <w:rPr>
          <w:lang w:val="es-ES_tradnl"/>
        </w:rPr>
        <w:t>3</w:t>
      </w:r>
      <w:r w:rsidR="002C7F2D" w:rsidRPr="00EE3D94">
        <w:rPr>
          <w:lang w:val="es-ES_tradnl"/>
        </w:rPr>
        <w:t>; Dworak, 2003; Carey, 2006)</w:t>
      </w:r>
      <w:r w:rsidR="00C55362" w:rsidRPr="00EE3D94">
        <w:rPr>
          <w:lang w:val="es-ES_tradnl"/>
        </w:rPr>
        <w:t>;</w:t>
      </w:r>
      <w:r w:rsidR="002C7F2D" w:rsidRPr="00EE3D94">
        <w:rPr>
          <w:lang w:val="es-ES_tradnl"/>
        </w:rPr>
        <w:t xml:space="preserve"> y los que consideran que </w:t>
      </w:r>
      <w:r w:rsidR="002C7F2D" w:rsidRPr="00F84B32">
        <w:rPr>
          <w:lang w:val="es-ES_tradnl"/>
        </w:rPr>
        <w:t>la reelección no garantiza la reincidencia de los legisladores en el mismo cargo</w:t>
      </w:r>
      <w:r>
        <w:rPr>
          <w:lang w:val="es-ES_tradnl"/>
        </w:rPr>
        <w:t>,</w:t>
      </w:r>
      <w:r w:rsidR="002C7F2D" w:rsidRPr="00F84B32">
        <w:rPr>
          <w:lang w:val="es-ES_tradnl"/>
        </w:rPr>
        <w:t xml:space="preserve"> por lo que la acumulación de experiencia es escasa y carente de compromisos frente a sus representados</w:t>
      </w:r>
      <w:r w:rsidR="002C7F2D" w:rsidRPr="00EE3D94">
        <w:rPr>
          <w:lang w:val="es-ES_tradnl"/>
        </w:rPr>
        <w:t xml:space="preserve"> (Jones, 2002). Además de que la actividad representativa por su propia naturaleza carece de información</w:t>
      </w:r>
      <w:r>
        <w:rPr>
          <w:lang w:val="es-ES_tradnl"/>
        </w:rPr>
        <w:t>,</w:t>
      </w:r>
      <w:r w:rsidR="002C7F2D" w:rsidRPr="00EE3D94">
        <w:rPr>
          <w:lang w:val="es-ES_tradnl"/>
        </w:rPr>
        <w:t xml:space="preserve"> pues los legisladores dependen de la información generada por los especialistas de la burocracia</w:t>
      </w:r>
      <w:r>
        <w:rPr>
          <w:lang w:val="es-ES_tradnl"/>
        </w:rPr>
        <w:t>,</w:t>
      </w:r>
      <w:r w:rsidRPr="00EE3D94">
        <w:rPr>
          <w:lang w:val="es-ES_tradnl"/>
        </w:rPr>
        <w:t xml:space="preserve"> </w:t>
      </w:r>
      <w:r w:rsidR="002C7F2D" w:rsidRPr="00EE3D94">
        <w:rPr>
          <w:lang w:val="es-ES_tradnl"/>
        </w:rPr>
        <w:t xml:space="preserve">el resultado de la agregación de intereses produce </w:t>
      </w:r>
      <w:r>
        <w:rPr>
          <w:lang w:val="es-ES_tradnl"/>
        </w:rPr>
        <w:t>-</w:t>
      </w:r>
      <w:r w:rsidR="002C7F2D" w:rsidRPr="00EE3D94">
        <w:rPr>
          <w:lang w:val="es-ES_tradnl"/>
        </w:rPr>
        <w:t>en el mejor de los casos- consensos antes que eficacia y coherencia</w:t>
      </w:r>
      <w:r>
        <w:rPr>
          <w:lang w:val="es-ES_tradnl"/>
        </w:rPr>
        <w:t>.</w:t>
      </w:r>
      <w:r w:rsidRPr="00EE3D94">
        <w:rPr>
          <w:lang w:val="es-ES_tradnl"/>
        </w:rPr>
        <w:t xml:space="preserve"> </w:t>
      </w:r>
      <w:r>
        <w:rPr>
          <w:lang w:val="es-ES_tradnl"/>
        </w:rPr>
        <w:t>P</w:t>
      </w:r>
      <w:r w:rsidRPr="00EE3D94">
        <w:rPr>
          <w:lang w:val="es-ES_tradnl"/>
        </w:rPr>
        <w:t xml:space="preserve">or </w:t>
      </w:r>
      <w:r w:rsidR="002C7F2D" w:rsidRPr="00EE3D94">
        <w:rPr>
          <w:lang w:val="es-ES_tradnl"/>
        </w:rPr>
        <w:t>tanto, el efecto inmediato da como resultado políticas disfuncionales, coyunturales y sin capacidad de responder a las demandas sociales (Mezey, 1995).</w:t>
      </w:r>
    </w:p>
    <w:p w14:paraId="3813FB6C" w14:textId="196A12DB" w:rsidR="00A65AA3" w:rsidRDefault="00FA0E7C" w:rsidP="001F4C4A">
      <w:pPr>
        <w:pStyle w:val="Cuerpo"/>
        <w:spacing w:before="120" w:after="120" w:line="360" w:lineRule="auto"/>
        <w:ind w:firstLine="708"/>
        <w:jc w:val="both"/>
        <w:rPr>
          <w:rFonts w:hAnsi="Times New Roman" w:cs="Times New Roman"/>
        </w:rPr>
      </w:pPr>
      <w:r w:rsidRPr="00EE3D94">
        <w:rPr>
          <w:rFonts w:hAnsi="Times New Roman" w:cs="Times New Roman"/>
        </w:rPr>
        <w:t>Pese a que la segunda concepción</w:t>
      </w:r>
      <w:r w:rsidR="002C5F85" w:rsidRPr="00EE3D94">
        <w:rPr>
          <w:rFonts w:hAnsi="Times New Roman" w:cs="Times New Roman"/>
        </w:rPr>
        <w:t>,</w:t>
      </w:r>
      <w:r w:rsidRPr="00EE3D94">
        <w:rPr>
          <w:rFonts w:hAnsi="Times New Roman" w:cs="Times New Roman"/>
        </w:rPr>
        <w:t xml:space="preserve"> la de desapego ciudadano</w:t>
      </w:r>
      <w:r w:rsidR="007C475F">
        <w:rPr>
          <w:rFonts w:hAnsi="Times New Roman" w:cs="Times New Roman"/>
        </w:rPr>
        <w:t>,</w:t>
      </w:r>
      <w:r w:rsidRPr="00EE3D94">
        <w:rPr>
          <w:rFonts w:hAnsi="Times New Roman" w:cs="Times New Roman"/>
        </w:rPr>
        <w:t xml:space="preserve"> es la que ha primado en la visión latinoamericana de los Congresos, </w:t>
      </w:r>
      <w:r w:rsidR="00AB4D8A" w:rsidRPr="00EE3D94">
        <w:rPr>
          <w:rFonts w:hAnsi="Times New Roman" w:cs="Times New Roman"/>
        </w:rPr>
        <w:t>se debe considerar</w:t>
      </w:r>
      <w:r w:rsidRPr="00EE3D94">
        <w:rPr>
          <w:rFonts w:hAnsi="Times New Roman" w:cs="Times New Roman"/>
        </w:rPr>
        <w:t xml:space="preserve"> que </w:t>
      </w:r>
      <w:r w:rsidR="00401330" w:rsidRPr="00EE3D94">
        <w:rPr>
          <w:rFonts w:hAnsi="Times New Roman" w:cs="Times New Roman"/>
        </w:rPr>
        <w:t>la rendición de cuentas horizontal como la vertical</w:t>
      </w:r>
      <w:r w:rsidR="007C475F">
        <w:rPr>
          <w:rFonts w:hAnsi="Times New Roman" w:cs="Times New Roman"/>
        </w:rPr>
        <w:t>,</w:t>
      </w:r>
      <w:r w:rsidRPr="00EE3D94">
        <w:rPr>
          <w:rFonts w:hAnsi="Times New Roman" w:cs="Times New Roman"/>
        </w:rPr>
        <w:t xml:space="preserve"> aplicada a las legislaturas</w:t>
      </w:r>
      <w:r w:rsidR="007C475F">
        <w:rPr>
          <w:rFonts w:hAnsi="Times New Roman" w:cs="Times New Roman"/>
        </w:rPr>
        <w:t>,</w:t>
      </w:r>
      <w:r w:rsidRPr="00EE3D94">
        <w:rPr>
          <w:rFonts w:hAnsi="Times New Roman" w:cs="Times New Roman"/>
        </w:rPr>
        <w:t xml:space="preserve"> son </w:t>
      </w:r>
      <w:r w:rsidR="00AB4D8A" w:rsidRPr="00F84B32">
        <w:rPr>
          <w:rFonts w:hAnsi="Times New Roman" w:cs="Times New Roman"/>
        </w:rPr>
        <w:t>nuevos recursos de la representación que permiten conformar compromisos entre quienes toman las decisiones legislativas y la ciudadanía</w:t>
      </w:r>
      <w:r w:rsidR="00401330" w:rsidRPr="00F84B32">
        <w:rPr>
          <w:rFonts w:hAnsi="Times New Roman" w:cs="Times New Roman"/>
        </w:rPr>
        <w:t>.</w:t>
      </w:r>
      <w:r w:rsidR="00401330" w:rsidRPr="00EE3D94">
        <w:rPr>
          <w:rFonts w:hAnsi="Times New Roman" w:cs="Times New Roman"/>
        </w:rPr>
        <w:t xml:space="preserve"> </w:t>
      </w:r>
      <w:r w:rsidR="00C40C2D" w:rsidRPr="00EE3D94">
        <w:rPr>
          <w:rFonts w:hAnsi="Times New Roman" w:cs="Times New Roman"/>
        </w:rPr>
        <w:t>En otras palabras</w:t>
      </w:r>
      <w:r w:rsidR="00401330" w:rsidRPr="00EE3D94">
        <w:rPr>
          <w:rFonts w:hAnsi="Times New Roman" w:cs="Times New Roman"/>
        </w:rPr>
        <w:t xml:space="preserve">, la reelección como instrumento de control ciudadano </w:t>
      </w:r>
      <w:r w:rsidR="000430FE" w:rsidRPr="00EE3D94">
        <w:rPr>
          <w:rFonts w:hAnsi="Times New Roman" w:cs="Times New Roman"/>
        </w:rPr>
        <w:t>solo es posible si se consolida como un sistema de retroalimentación y comunicación</w:t>
      </w:r>
      <w:r w:rsidR="007C475F">
        <w:rPr>
          <w:rFonts w:hAnsi="Times New Roman" w:cs="Times New Roman"/>
        </w:rPr>
        <w:t>,</w:t>
      </w:r>
      <w:r w:rsidR="007C475F" w:rsidRPr="00EE3D94">
        <w:rPr>
          <w:rFonts w:hAnsi="Times New Roman" w:cs="Times New Roman"/>
        </w:rPr>
        <w:t xml:space="preserve"> </w:t>
      </w:r>
      <w:r w:rsidR="000430FE" w:rsidRPr="00EE3D94">
        <w:rPr>
          <w:rFonts w:hAnsi="Times New Roman" w:cs="Times New Roman"/>
        </w:rPr>
        <w:t>así como de responsabilidades y compromisos frente a sus electores</w:t>
      </w:r>
      <w:r w:rsidR="007C475F">
        <w:rPr>
          <w:rFonts w:hAnsi="Times New Roman" w:cs="Times New Roman"/>
        </w:rPr>
        <w:t>.</w:t>
      </w:r>
      <w:r w:rsidR="007C475F" w:rsidRPr="00EE3D94">
        <w:rPr>
          <w:rFonts w:hAnsi="Times New Roman" w:cs="Times New Roman"/>
        </w:rPr>
        <w:t xml:space="preserve"> </w:t>
      </w:r>
      <w:r w:rsidR="007C475F">
        <w:rPr>
          <w:rFonts w:hAnsi="Times New Roman" w:cs="Times New Roman"/>
        </w:rPr>
        <w:t>D</w:t>
      </w:r>
      <w:r w:rsidR="007C475F" w:rsidRPr="00EE3D94">
        <w:rPr>
          <w:rFonts w:hAnsi="Times New Roman" w:cs="Times New Roman"/>
        </w:rPr>
        <w:t xml:space="preserve">e </w:t>
      </w:r>
      <w:r w:rsidR="000430FE" w:rsidRPr="00EE3D94">
        <w:rPr>
          <w:rFonts w:hAnsi="Times New Roman" w:cs="Times New Roman"/>
        </w:rPr>
        <w:t xml:space="preserve">ahí que </w:t>
      </w:r>
      <w:r w:rsidR="007C475F">
        <w:rPr>
          <w:rFonts w:hAnsi="Times New Roman" w:cs="Times New Roman"/>
        </w:rPr>
        <w:t>se considere</w:t>
      </w:r>
      <w:r w:rsidR="007C475F" w:rsidRPr="00EE3D94">
        <w:rPr>
          <w:rFonts w:hAnsi="Times New Roman" w:cs="Times New Roman"/>
        </w:rPr>
        <w:t xml:space="preserve"> </w:t>
      </w:r>
      <w:r w:rsidR="000430FE" w:rsidRPr="00EE3D94">
        <w:rPr>
          <w:rFonts w:hAnsi="Times New Roman" w:cs="Times New Roman"/>
        </w:rPr>
        <w:t>que c</w:t>
      </w:r>
      <w:r w:rsidR="00903E1F" w:rsidRPr="00EE3D94">
        <w:rPr>
          <w:rFonts w:hAnsi="Times New Roman" w:cs="Times New Roman"/>
        </w:rPr>
        <w:t>uatro so</w:t>
      </w:r>
      <w:r w:rsidR="00401330" w:rsidRPr="00EE3D94">
        <w:rPr>
          <w:rFonts w:hAnsi="Times New Roman" w:cs="Times New Roman"/>
        </w:rPr>
        <w:t>n los elementos que fomentan el compromiso y la respuesta institucional</w:t>
      </w:r>
      <w:r w:rsidR="007C475F">
        <w:rPr>
          <w:rFonts w:hAnsi="Times New Roman" w:cs="Times New Roman"/>
        </w:rPr>
        <w:t>.</w:t>
      </w:r>
    </w:p>
    <w:p w14:paraId="15621675" w14:textId="6F043123" w:rsidR="00471719" w:rsidRDefault="00471719" w:rsidP="001F4C4A">
      <w:pPr>
        <w:pStyle w:val="Cuerpo"/>
        <w:spacing w:before="120" w:after="120" w:line="360" w:lineRule="auto"/>
        <w:ind w:firstLine="708"/>
        <w:jc w:val="both"/>
        <w:rPr>
          <w:rFonts w:hAnsi="Times New Roman" w:cs="Times New Roman"/>
        </w:rPr>
      </w:pPr>
    </w:p>
    <w:p w14:paraId="0EDDF31F" w14:textId="77777777" w:rsidR="00471719" w:rsidRDefault="00471719" w:rsidP="001F4C4A">
      <w:pPr>
        <w:pStyle w:val="Cuerpo"/>
        <w:spacing w:before="120" w:after="120" w:line="360" w:lineRule="auto"/>
        <w:ind w:firstLine="708"/>
        <w:jc w:val="both"/>
        <w:rPr>
          <w:rFonts w:hAnsi="Times New Roman" w:cs="Times New Roman"/>
        </w:rPr>
      </w:pPr>
    </w:p>
    <w:p w14:paraId="281E9CA7" w14:textId="396C6C37" w:rsidR="00DC2B6E" w:rsidRDefault="00DC2B6E" w:rsidP="001F4C4A">
      <w:pPr>
        <w:pStyle w:val="Cuerpo"/>
        <w:spacing w:before="120" w:after="120" w:line="360" w:lineRule="auto"/>
        <w:ind w:firstLine="708"/>
        <w:jc w:val="both"/>
        <w:rPr>
          <w:rFonts w:hAnsi="Times New Roman" w:cs="Times New Roman"/>
        </w:rPr>
      </w:pPr>
    </w:p>
    <w:p w14:paraId="0F8040A4" w14:textId="77777777" w:rsidR="00DC2B6E" w:rsidRDefault="00DC2B6E" w:rsidP="001F4C4A">
      <w:pPr>
        <w:pStyle w:val="Cuerpo"/>
        <w:spacing w:before="120" w:after="120" w:line="360" w:lineRule="auto"/>
        <w:ind w:firstLine="708"/>
        <w:jc w:val="both"/>
        <w:rPr>
          <w:rFonts w:hAnsi="Times New Roman" w:cs="Times New Roman"/>
        </w:rPr>
      </w:pPr>
    </w:p>
    <w:p w14:paraId="18C673A9" w14:textId="6A6B454E" w:rsidR="00121180" w:rsidRPr="00EE3D94" w:rsidRDefault="00121180" w:rsidP="00DC2B6E">
      <w:pPr>
        <w:pStyle w:val="Cuerpo"/>
        <w:spacing w:before="120" w:after="120" w:line="360" w:lineRule="auto"/>
        <w:ind w:firstLine="708"/>
        <w:jc w:val="center"/>
        <w:rPr>
          <w:rFonts w:hAnsi="Times New Roman" w:cs="Times New Roman"/>
        </w:rPr>
      </w:pPr>
      <w:r w:rsidRPr="00121180">
        <w:rPr>
          <w:rFonts w:hAnsi="Times New Roman" w:cs="Times New Roman"/>
          <w:b/>
        </w:rPr>
        <w:lastRenderedPageBreak/>
        <w:t>Tabla 3</w:t>
      </w:r>
      <w:r w:rsidR="00D143AF">
        <w:rPr>
          <w:rFonts w:hAnsi="Times New Roman" w:cs="Times New Roman"/>
          <w:b/>
        </w:rPr>
        <w:t>.</w:t>
      </w:r>
      <w:r>
        <w:rPr>
          <w:rFonts w:hAnsi="Times New Roman" w:cs="Times New Roman"/>
        </w:rPr>
        <w:t xml:space="preserve"> Responsabilidades y compromisos con la reelección</w:t>
      </w:r>
    </w:p>
    <w:p w14:paraId="2C0EF475" w14:textId="04AFA357" w:rsidR="00BE381B" w:rsidRPr="00EE3D94" w:rsidRDefault="00BE381B" w:rsidP="00BE381B">
      <w:pPr>
        <w:pStyle w:val="Cuerpo"/>
        <w:numPr>
          <w:ilvl w:val="0"/>
          <w:numId w:val="1"/>
        </w:numPr>
        <w:pBdr>
          <w:top w:val="single" w:sz="4" w:space="1" w:color="auto"/>
          <w:left w:val="single" w:sz="4" w:space="1" w:color="auto"/>
          <w:bottom w:val="single" w:sz="4" w:space="1" w:color="auto"/>
          <w:right w:val="single" w:sz="4" w:space="1" w:color="auto"/>
        </w:pBdr>
        <w:spacing w:before="120" w:after="120"/>
        <w:jc w:val="both"/>
        <w:rPr>
          <w:rFonts w:hAnsi="Times New Roman" w:cs="Times New Roman"/>
          <w:sz w:val="22"/>
          <w:szCs w:val="22"/>
        </w:rPr>
      </w:pPr>
      <w:r w:rsidRPr="00EE3D94">
        <w:rPr>
          <w:rFonts w:hAnsi="Times New Roman" w:cs="Times New Roman"/>
          <w:sz w:val="22"/>
          <w:szCs w:val="22"/>
        </w:rPr>
        <w:t>Apertura informativa sobre la fiscalización en el manejo de los recursos</w:t>
      </w:r>
      <w:r w:rsidR="007C475F">
        <w:rPr>
          <w:rFonts w:hAnsi="Times New Roman" w:cs="Times New Roman"/>
          <w:sz w:val="22"/>
          <w:szCs w:val="22"/>
        </w:rPr>
        <w:t>.</w:t>
      </w:r>
    </w:p>
    <w:p w14:paraId="54C4F243" w14:textId="5649EED3" w:rsidR="00BE381B" w:rsidRPr="00EE3D94" w:rsidRDefault="00BE381B" w:rsidP="00BE381B">
      <w:pPr>
        <w:pStyle w:val="Cuerpo"/>
        <w:numPr>
          <w:ilvl w:val="0"/>
          <w:numId w:val="1"/>
        </w:numPr>
        <w:pBdr>
          <w:top w:val="single" w:sz="4" w:space="1" w:color="auto"/>
          <w:left w:val="single" w:sz="4" w:space="1" w:color="auto"/>
          <w:bottom w:val="single" w:sz="4" w:space="1" w:color="auto"/>
          <w:right w:val="single" w:sz="4" w:space="1" w:color="auto"/>
        </w:pBdr>
        <w:spacing w:before="120" w:after="120"/>
        <w:jc w:val="both"/>
        <w:rPr>
          <w:rFonts w:hAnsi="Times New Roman" w:cs="Times New Roman"/>
          <w:sz w:val="22"/>
          <w:szCs w:val="22"/>
        </w:rPr>
      </w:pPr>
      <w:r w:rsidRPr="00EE3D94">
        <w:rPr>
          <w:rFonts w:hAnsi="Times New Roman" w:cs="Times New Roman"/>
          <w:sz w:val="22"/>
          <w:szCs w:val="22"/>
        </w:rPr>
        <w:t>Publicidad de las actividades legislativas</w:t>
      </w:r>
      <w:r w:rsidR="007C475F">
        <w:rPr>
          <w:rFonts w:hAnsi="Times New Roman" w:cs="Times New Roman"/>
          <w:sz w:val="22"/>
          <w:szCs w:val="22"/>
        </w:rPr>
        <w:t>.</w:t>
      </w:r>
    </w:p>
    <w:p w14:paraId="228ED24D" w14:textId="2BE2511B" w:rsidR="00BE381B" w:rsidRPr="00EE3D94" w:rsidRDefault="007C475F" w:rsidP="00BE381B">
      <w:pPr>
        <w:pStyle w:val="Cuerpo"/>
        <w:numPr>
          <w:ilvl w:val="0"/>
          <w:numId w:val="1"/>
        </w:numPr>
        <w:pBdr>
          <w:top w:val="single" w:sz="4" w:space="1" w:color="auto"/>
          <w:left w:val="single" w:sz="4" w:space="1" w:color="auto"/>
          <w:bottom w:val="single" w:sz="4" w:space="1" w:color="auto"/>
          <w:right w:val="single" w:sz="4" w:space="1" w:color="auto"/>
        </w:pBdr>
        <w:spacing w:before="120" w:after="120"/>
        <w:jc w:val="both"/>
        <w:rPr>
          <w:rFonts w:hAnsi="Times New Roman" w:cs="Times New Roman"/>
          <w:sz w:val="22"/>
          <w:szCs w:val="22"/>
        </w:rPr>
      </w:pPr>
      <w:r w:rsidRPr="00EE3D94">
        <w:rPr>
          <w:rFonts w:hAnsi="Times New Roman" w:cs="Times New Roman"/>
          <w:sz w:val="22"/>
          <w:szCs w:val="22"/>
        </w:rPr>
        <w:t>Garant</w:t>
      </w:r>
      <w:r>
        <w:rPr>
          <w:rFonts w:hAnsi="Times New Roman" w:cs="Times New Roman"/>
          <w:sz w:val="22"/>
          <w:szCs w:val="22"/>
        </w:rPr>
        <w:t>ía de</w:t>
      </w:r>
      <w:r w:rsidRPr="00EE3D94">
        <w:rPr>
          <w:rFonts w:hAnsi="Times New Roman" w:cs="Times New Roman"/>
          <w:sz w:val="22"/>
          <w:szCs w:val="22"/>
        </w:rPr>
        <w:t xml:space="preserve"> </w:t>
      </w:r>
      <w:r w:rsidR="00BE381B" w:rsidRPr="00EE3D94">
        <w:rPr>
          <w:rFonts w:hAnsi="Times New Roman" w:cs="Times New Roman"/>
          <w:sz w:val="22"/>
          <w:szCs w:val="22"/>
        </w:rPr>
        <w:t>la participación ciudadana en las decisiones legislativas</w:t>
      </w:r>
      <w:r>
        <w:rPr>
          <w:rFonts w:hAnsi="Times New Roman" w:cs="Times New Roman"/>
          <w:sz w:val="22"/>
          <w:szCs w:val="22"/>
        </w:rPr>
        <w:t>.</w:t>
      </w:r>
    </w:p>
    <w:p w14:paraId="5C26A545" w14:textId="244E4DA1" w:rsidR="00BE381B" w:rsidRPr="00EE3D94" w:rsidRDefault="007C475F" w:rsidP="00BE381B">
      <w:pPr>
        <w:pStyle w:val="Cuerpo"/>
        <w:numPr>
          <w:ilvl w:val="0"/>
          <w:numId w:val="1"/>
        </w:numPr>
        <w:pBdr>
          <w:top w:val="single" w:sz="4" w:space="1" w:color="auto"/>
          <w:left w:val="single" w:sz="4" w:space="1" w:color="auto"/>
          <w:bottom w:val="single" w:sz="4" w:space="1" w:color="auto"/>
          <w:right w:val="single" w:sz="4" w:space="1" w:color="auto"/>
        </w:pBdr>
        <w:spacing w:before="120" w:after="120"/>
        <w:jc w:val="both"/>
        <w:rPr>
          <w:rFonts w:hAnsi="Times New Roman" w:cs="Times New Roman"/>
          <w:sz w:val="22"/>
          <w:szCs w:val="22"/>
        </w:rPr>
      </w:pPr>
      <w:r>
        <w:rPr>
          <w:rFonts w:hAnsi="Times New Roman" w:cs="Times New Roman"/>
          <w:sz w:val="22"/>
          <w:szCs w:val="22"/>
        </w:rPr>
        <w:t>R</w:t>
      </w:r>
      <w:r w:rsidR="00BE381B" w:rsidRPr="00EE3D94">
        <w:rPr>
          <w:rFonts w:hAnsi="Times New Roman" w:cs="Times New Roman"/>
          <w:sz w:val="22"/>
          <w:szCs w:val="22"/>
        </w:rPr>
        <w:t>espuesta a las peticiones y demandas a través del acceso a la agenda legislativa.</w:t>
      </w:r>
    </w:p>
    <w:p w14:paraId="519F24FA" w14:textId="74D627E9" w:rsidR="00BE381B" w:rsidRPr="006735A7" w:rsidRDefault="007C475F" w:rsidP="006735A7">
      <w:pPr>
        <w:pStyle w:val="Cuerpo"/>
        <w:spacing w:before="120" w:after="120" w:line="360" w:lineRule="auto"/>
        <w:jc w:val="center"/>
        <w:rPr>
          <w:rFonts w:hAnsi="Times New Roman" w:cs="Times New Roman"/>
          <w:szCs w:val="22"/>
        </w:rPr>
      </w:pPr>
      <w:r>
        <w:rPr>
          <w:rFonts w:hAnsi="Times New Roman" w:cs="Times New Roman"/>
          <w:szCs w:val="22"/>
        </w:rPr>
        <w:t xml:space="preserve">Fuente: </w:t>
      </w:r>
      <w:r w:rsidR="00BE381B" w:rsidRPr="006735A7">
        <w:rPr>
          <w:rFonts w:hAnsi="Times New Roman" w:cs="Times New Roman"/>
          <w:szCs w:val="22"/>
        </w:rPr>
        <w:t>Elaboración propia</w:t>
      </w:r>
    </w:p>
    <w:p w14:paraId="337926BB" w14:textId="3B2DB1BC" w:rsidR="00401330" w:rsidRPr="00EE3D94" w:rsidRDefault="00903E1F"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El </w:t>
      </w:r>
      <w:r w:rsidR="00401330" w:rsidRPr="00EE3D94">
        <w:rPr>
          <w:rFonts w:hAnsi="Times New Roman" w:cs="Times New Roman"/>
        </w:rPr>
        <w:t xml:space="preserve">vínculo </w:t>
      </w:r>
      <w:r w:rsidRPr="00EE3D94">
        <w:rPr>
          <w:rFonts w:hAnsi="Times New Roman" w:cs="Times New Roman"/>
        </w:rPr>
        <w:t xml:space="preserve">entre representación y compromiso </w:t>
      </w:r>
      <w:r w:rsidR="008D3C4D" w:rsidRPr="00EE3D94">
        <w:rPr>
          <w:rFonts w:hAnsi="Times New Roman" w:cs="Times New Roman"/>
        </w:rPr>
        <w:t>añade</w:t>
      </w:r>
      <w:r w:rsidR="00401330" w:rsidRPr="00EE3D94">
        <w:rPr>
          <w:rFonts w:hAnsi="Times New Roman" w:cs="Times New Roman"/>
        </w:rPr>
        <w:t xml:space="preserve"> a la democracia representativa nuevos elementos que</w:t>
      </w:r>
      <w:r w:rsidR="00C40C2D" w:rsidRPr="00EE3D94">
        <w:rPr>
          <w:rFonts w:hAnsi="Times New Roman" w:cs="Times New Roman"/>
        </w:rPr>
        <w:t>,</w:t>
      </w:r>
      <w:r w:rsidR="00401330" w:rsidRPr="00EE3D94">
        <w:rPr>
          <w:rFonts w:hAnsi="Times New Roman" w:cs="Times New Roman"/>
        </w:rPr>
        <w:t xml:space="preserve"> lejos de sustituir a la representación tradicional</w:t>
      </w:r>
      <w:r w:rsidR="00C40C2D" w:rsidRPr="00EE3D94">
        <w:rPr>
          <w:rFonts w:hAnsi="Times New Roman" w:cs="Times New Roman"/>
        </w:rPr>
        <w:t>,</w:t>
      </w:r>
      <w:r w:rsidR="00401330" w:rsidRPr="00EE3D94">
        <w:rPr>
          <w:rFonts w:hAnsi="Times New Roman" w:cs="Times New Roman"/>
        </w:rPr>
        <w:t xml:space="preserve"> la complementan </w:t>
      </w:r>
      <w:r w:rsidRPr="00EE3D94">
        <w:rPr>
          <w:rFonts w:hAnsi="Times New Roman" w:cs="Times New Roman"/>
        </w:rPr>
        <w:t>al otorgarle una</w:t>
      </w:r>
      <w:r w:rsidR="00401330" w:rsidRPr="00EE3D94">
        <w:rPr>
          <w:rFonts w:hAnsi="Times New Roman" w:cs="Times New Roman"/>
        </w:rPr>
        <w:t xml:space="preserve"> </w:t>
      </w:r>
      <w:r w:rsidR="008D3C4D" w:rsidRPr="00EE3D94">
        <w:rPr>
          <w:rFonts w:hAnsi="Times New Roman" w:cs="Times New Roman"/>
        </w:rPr>
        <w:t>función</w:t>
      </w:r>
      <w:r w:rsidR="00401330" w:rsidRPr="00EE3D94">
        <w:rPr>
          <w:rFonts w:hAnsi="Times New Roman" w:cs="Times New Roman"/>
        </w:rPr>
        <w:t xml:space="preserve"> de opini</w:t>
      </w:r>
      <w:r w:rsidR="008D3C4D" w:rsidRPr="00EE3D94">
        <w:rPr>
          <w:rFonts w:hAnsi="Times New Roman" w:cs="Times New Roman"/>
        </w:rPr>
        <w:t>ón</w:t>
      </w:r>
      <w:r w:rsidR="000430FE" w:rsidRPr="00EE3D94">
        <w:rPr>
          <w:rFonts w:hAnsi="Times New Roman" w:cs="Times New Roman"/>
        </w:rPr>
        <w:t xml:space="preserve"> y petición</w:t>
      </w:r>
      <w:r w:rsidR="00401330" w:rsidRPr="00EE3D94">
        <w:rPr>
          <w:rFonts w:hAnsi="Times New Roman" w:cs="Times New Roman"/>
        </w:rPr>
        <w:t xml:space="preserve"> o</w:t>
      </w:r>
      <w:r w:rsidR="007C475F">
        <w:rPr>
          <w:rFonts w:hAnsi="Times New Roman" w:cs="Times New Roman"/>
        </w:rPr>
        <w:t>,</w:t>
      </w:r>
      <w:r w:rsidR="00C40C2D" w:rsidRPr="00EE3D94">
        <w:rPr>
          <w:rFonts w:hAnsi="Times New Roman" w:cs="Times New Roman"/>
        </w:rPr>
        <w:t xml:space="preserve"> en su caso,</w:t>
      </w:r>
      <w:r w:rsidR="00401330" w:rsidRPr="00EE3D94">
        <w:rPr>
          <w:rFonts w:hAnsi="Times New Roman" w:cs="Times New Roman"/>
        </w:rPr>
        <w:t xml:space="preserve"> la capacidad de escuchar a los ciudadanos como la consideración de las opiniones, preferencias, niveles de satisfacción ciudadana </w:t>
      </w:r>
      <w:r w:rsidR="007C475F">
        <w:rPr>
          <w:rFonts w:hAnsi="Times New Roman" w:cs="Times New Roman"/>
        </w:rPr>
        <w:t>-</w:t>
      </w:r>
      <w:r w:rsidR="00401330" w:rsidRPr="00EE3D94">
        <w:rPr>
          <w:rFonts w:hAnsi="Times New Roman" w:cs="Times New Roman"/>
        </w:rPr>
        <w:t xml:space="preserve">todo ello a </w:t>
      </w:r>
      <w:r w:rsidR="008D3C4D" w:rsidRPr="00EE3D94">
        <w:rPr>
          <w:rFonts w:hAnsi="Times New Roman" w:cs="Times New Roman"/>
        </w:rPr>
        <w:t>través de consultas públicas</w:t>
      </w:r>
      <w:r w:rsidR="00401330" w:rsidRPr="00EE3D94">
        <w:rPr>
          <w:rFonts w:hAnsi="Times New Roman" w:cs="Times New Roman"/>
        </w:rPr>
        <w:t xml:space="preserve">, deliberación de iniciativas, </w:t>
      </w:r>
      <w:r w:rsidR="008D3C4D" w:rsidRPr="00EE3D94">
        <w:rPr>
          <w:rFonts w:hAnsi="Times New Roman" w:cs="Times New Roman"/>
        </w:rPr>
        <w:t>audiencias públicas, oficinas de</w:t>
      </w:r>
      <w:r w:rsidR="006C494B" w:rsidRPr="00EE3D94">
        <w:rPr>
          <w:rFonts w:hAnsi="Times New Roman" w:cs="Times New Roman"/>
        </w:rPr>
        <w:t xml:space="preserve"> contacto, consejos consultivos o</w:t>
      </w:r>
      <w:r w:rsidR="008D3C4D" w:rsidRPr="00EE3D94">
        <w:rPr>
          <w:rFonts w:hAnsi="Times New Roman" w:cs="Times New Roman"/>
        </w:rPr>
        <w:t xml:space="preserve"> </w:t>
      </w:r>
      <w:r w:rsidR="00401330" w:rsidRPr="00EE3D94">
        <w:rPr>
          <w:rFonts w:hAnsi="Times New Roman" w:cs="Times New Roman"/>
        </w:rPr>
        <w:t>referéndums</w:t>
      </w:r>
      <w:r w:rsidR="007C475F">
        <w:rPr>
          <w:rFonts w:hAnsi="Times New Roman" w:cs="Times New Roman"/>
        </w:rPr>
        <w:t>-,</w:t>
      </w:r>
      <w:r w:rsidR="007C475F" w:rsidRPr="00EE3D94">
        <w:rPr>
          <w:rFonts w:hAnsi="Times New Roman" w:cs="Times New Roman"/>
        </w:rPr>
        <w:t xml:space="preserve"> </w:t>
      </w:r>
      <w:r w:rsidR="008D3C4D" w:rsidRPr="00EE3D94">
        <w:rPr>
          <w:rFonts w:hAnsi="Times New Roman" w:cs="Times New Roman"/>
        </w:rPr>
        <w:t>además de los instrumentos electrónicos como canales de acercamiento ciudadano</w:t>
      </w:r>
      <w:r w:rsidR="00401330" w:rsidRPr="00EE3D94">
        <w:rPr>
          <w:rFonts w:hAnsi="Times New Roman" w:cs="Times New Roman"/>
        </w:rPr>
        <w:t>.</w:t>
      </w:r>
    </w:p>
    <w:p w14:paraId="49CFB4E4" w14:textId="77777777" w:rsidR="006F6066" w:rsidRPr="00E43AA5" w:rsidRDefault="006F6066" w:rsidP="00BE381B">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t>La rendición de cuentas social</w:t>
      </w:r>
    </w:p>
    <w:p w14:paraId="405B6A51" w14:textId="2975D15C" w:rsidR="00E3089D" w:rsidRPr="00EE3D94" w:rsidRDefault="008D3475" w:rsidP="006735A7">
      <w:pPr>
        <w:pStyle w:val="Cuerpo"/>
        <w:spacing w:before="120" w:after="120" w:line="360" w:lineRule="auto"/>
        <w:ind w:firstLine="708"/>
        <w:jc w:val="both"/>
        <w:rPr>
          <w:rFonts w:hAnsi="Times New Roman" w:cs="Times New Roman"/>
        </w:rPr>
      </w:pPr>
      <w:r w:rsidRPr="00EE3D94">
        <w:rPr>
          <w:rFonts w:hAnsi="Times New Roman" w:cs="Times New Roman"/>
        </w:rPr>
        <w:t>Coincidiendo con el escepticismo de Adam</w:t>
      </w:r>
      <w:r w:rsidR="00E3089D" w:rsidRPr="00EE3D94">
        <w:rPr>
          <w:rFonts w:hAnsi="Times New Roman" w:cs="Times New Roman"/>
        </w:rPr>
        <w:t xml:space="preserve"> Przeworski (1998)</w:t>
      </w:r>
      <w:r w:rsidR="007C475F">
        <w:rPr>
          <w:rFonts w:hAnsi="Times New Roman" w:cs="Times New Roman"/>
        </w:rPr>
        <w:t>,</w:t>
      </w:r>
      <w:r w:rsidR="00E3089D" w:rsidRPr="00EE3D94">
        <w:rPr>
          <w:rFonts w:hAnsi="Times New Roman" w:cs="Times New Roman"/>
        </w:rPr>
        <w:t xml:space="preserve"> </w:t>
      </w:r>
      <w:r w:rsidRPr="00EE3D94">
        <w:rPr>
          <w:rFonts w:hAnsi="Times New Roman" w:cs="Times New Roman"/>
        </w:rPr>
        <w:t>quien ha señalado</w:t>
      </w:r>
      <w:r w:rsidR="00E3089D" w:rsidRPr="00EE3D94">
        <w:rPr>
          <w:rFonts w:hAnsi="Times New Roman" w:cs="Times New Roman"/>
        </w:rPr>
        <w:t xml:space="preserve"> que las “elecciones no obligan a los políticos a implementar las políticas</w:t>
      </w:r>
      <w:r w:rsidR="006C494B" w:rsidRPr="00EE3D94">
        <w:rPr>
          <w:rFonts w:hAnsi="Times New Roman" w:cs="Times New Roman"/>
        </w:rPr>
        <w:t xml:space="preserve"> pretendidas por los votantes”</w:t>
      </w:r>
      <w:r w:rsidR="007C475F">
        <w:rPr>
          <w:rFonts w:hAnsi="Times New Roman" w:cs="Times New Roman"/>
        </w:rPr>
        <w:t xml:space="preserve"> (p. 9</w:t>
      </w:r>
      <w:r w:rsidR="005C0421">
        <w:rPr>
          <w:rFonts w:hAnsi="Times New Roman" w:cs="Times New Roman"/>
        </w:rPr>
        <w:t>).</w:t>
      </w:r>
      <w:r w:rsidR="005C0421" w:rsidRPr="00EE3D94">
        <w:rPr>
          <w:rFonts w:hAnsi="Times New Roman" w:cs="Times New Roman"/>
        </w:rPr>
        <w:t xml:space="preserve"> </w:t>
      </w:r>
      <w:r w:rsidR="005C0421">
        <w:rPr>
          <w:rFonts w:hAnsi="Times New Roman" w:cs="Times New Roman"/>
        </w:rPr>
        <w:t>D</w:t>
      </w:r>
      <w:r w:rsidR="005C0421" w:rsidRPr="00EE3D94">
        <w:rPr>
          <w:rFonts w:hAnsi="Times New Roman" w:cs="Times New Roman"/>
        </w:rPr>
        <w:t xml:space="preserve">ada </w:t>
      </w:r>
      <w:r w:rsidR="00E3089D" w:rsidRPr="00EE3D94">
        <w:rPr>
          <w:rFonts w:hAnsi="Times New Roman" w:cs="Times New Roman"/>
        </w:rPr>
        <w:t xml:space="preserve">la limitada o insuficiente información con la que cuentan los </w:t>
      </w:r>
      <w:r w:rsidRPr="00EE3D94">
        <w:rPr>
          <w:rFonts w:hAnsi="Times New Roman" w:cs="Times New Roman"/>
        </w:rPr>
        <w:t>electores</w:t>
      </w:r>
      <w:r w:rsidR="00E3089D" w:rsidRPr="00EE3D94">
        <w:rPr>
          <w:rFonts w:hAnsi="Times New Roman" w:cs="Times New Roman"/>
        </w:rPr>
        <w:t xml:space="preserve"> para evaluar a sus legisladores electos</w:t>
      </w:r>
      <w:r w:rsidRPr="00EE3D94">
        <w:rPr>
          <w:rFonts w:hAnsi="Times New Roman" w:cs="Times New Roman"/>
        </w:rPr>
        <w:t xml:space="preserve"> y </w:t>
      </w:r>
      <w:r w:rsidR="00E3089D" w:rsidRPr="00EE3D94">
        <w:rPr>
          <w:rFonts w:hAnsi="Times New Roman" w:cs="Times New Roman"/>
        </w:rPr>
        <w:t>la amenaza de no ser reelectos</w:t>
      </w:r>
      <w:r w:rsidR="007C475F">
        <w:rPr>
          <w:rFonts w:hAnsi="Times New Roman" w:cs="Times New Roman"/>
        </w:rPr>
        <w:t>,</w:t>
      </w:r>
      <w:r w:rsidR="00E3089D" w:rsidRPr="00EE3D94">
        <w:rPr>
          <w:rFonts w:hAnsi="Times New Roman" w:cs="Times New Roman"/>
        </w:rPr>
        <w:t xml:space="preserve"> no</w:t>
      </w:r>
      <w:r w:rsidRPr="00EE3D94">
        <w:rPr>
          <w:rFonts w:hAnsi="Times New Roman" w:cs="Times New Roman"/>
        </w:rPr>
        <w:t xml:space="preserve"> son incentivos </w:t>
      </w:r>
      <w:r w:rsidR="00E3089D" w:rsidRPr="00EE3D94">
        <w:rPr>
          <w:rFonts w:hAnsi="Times New Roman" w:cs="Times New Roman"/>
        </w:rPr>
        <w:t>suficiente</w:t>
      </w:r>
      <w:r w:rsidRPr="00EE3D94">
        <w:rPr>
          <w:rFonts w:hAnsi="Times New Roman" w:cs="Times New Roman"/>
        </w:rPr>
        <w:t>s</w:t>
      </w:r>
      <w:r w:rsidR="00E3089D" w:rsidRPr="00EE3D94">
        <w:rPr>
          <w:rFonts w:hAnsi="Times New Roman" w:cs="Times New Roman"/>
        </w:rPr>
        <w:t xml:space="preserve"> para inducir a los representantes a actuar en beneficio del interés público. Es</w:t>
      </w:r>
      <w:r w:rsidR="00F50FCF" w:rsidRPr="00EE3D94">
        <w:rPr>
          <w:rFonts w:hAnsi="Times New Roman" w:cs="Times New Roman"/>
        </w:rPr>
        <w:t xml:space="preserve"> verdad que </w:t>
      </w:r>
      <w:r w:rsidR="00E3089D" w:rsidRPr="00EE3D94">
        <w:rPr>
          <w:rFonts w:hAnsi="Times New Roman" w:cs="Times New Roman"/>
        </w:rPr>
        <w:t>se requieren</w:t>
      </w:r>
      <w:r w:rsidR="005C0421">
        <w:rPr>
          <w:rFonts w:hAnsi="Times New Roman" w:cs="Times New Roman"/>
        </w:rPr>
        <w:t>,</w:t>
      </w:r>
      <w:r w:rsidR="00F50FCF" w:rsidRPr="00EE3D94">
        <w:rPr>
          <w:rFonts w:hAnsi="Times New Roman" w:cs="Times New Roman"/>
        </w:rPr>
        <w:t xml:space="preserve"> además</w:t>
      </w:r>
      <w:r w:rsidR="005C0421">
        <w:rPr>
          <w:rFonts w:hAnsi="Times New Roman" w:cs="Times New Roman"/>
        </w:rPr>
        <w:t>,</w:t>
      </w:r>
      <w:r w:rsidR="00E3089D" w:rsidRPr="00EE3D94">
        <w:rPr>
          <w:rFonts w:hAnsi="Times New Roman" w:cs="Times New Roman"/>
        </w:rPr>
        <w:t xml:space="preserve"> otros instr</w:t>
      </w:r>
      <w:r w:rsidR="006C494B" w:rsidRPr="00EE3D94">
        <w:rPr>
          <w:rFonts w:hAnsi="Times New Roman" w:cs="Times New Roman"/>
        </w:rPr>
        <w:t>umentos adicionales al voto a fin de</w:t>
      </w:r>
      <w:r w:rsidR="00E3089D" w:rsidRPr="00EE3D94">
        <w:rPr>
          <w:rFonts w:hAnsi="Times New Roman" w:cs="Times New Roman"/>
        </w:rPr>
        <w:t xml:space="preserve"> que el ciudadano tenga la capacidad de vigilar y sancionar efectivamente la conducta del representante.</w:t>
      </w:r>
    </w:p>
    <w:p w14:paraId="0E0A76F3" w14:textId="5930DE5E" w:rsidR="00E3089D" w:rsidRDefault="00E3089D" w:rsidP="006735A7">
      <w:pPr>
        <w:pStyle w:val="Sinespaciado"/>
        <w:spacing w:line="360" w:lineRule="auto"/>
        <w:ind w:firstLine="708"/>
        <w:jc w:val="both"/>
        <w:rPr>
          <w:rFonts w:ascii="Times New Roman" w:hAnsi="Times New Roman" w:cs="Times New Roman"/>
          <w:sz w:val="24"/>
          <w:szCs w:val="24"/>
        </w:rPr>
      </w:pPr>
      <w:r w:rsidRPr="00EE3D94">
        <w:rPr>
          <w:rFonts w:ascii="Times New Roman" w:hAnsi="Times New Roman" w:cs="Times New Roman"/>
          <w:sz w:val="24"/>
          <w:szCs w:val="24"/>
        </w:rPr>
        <w:t>Para</w:t>
      </w:r>
      <w:r w:rsidR="00741221" w:rsidRPr="00EE3D94">
        <w:rPr>
          <w:rFonts w:ascii="Times New Roman" w:hAnsi="Times New Roman" w:cs="Times New Roman"/>
          <w:sz w:val="24"/>
          <w:szCs w:val="24"/>
        </w:rPr>
        <w:t xml:space="preserve"> Smulovitz</w:t>
      </w:r>
      <w:r w:rsidRPr="00EE3D94">
        <w:rPr>
          <w:rFonts w:ascii="Times New Roman" w:hAnsi="Times New Roman" w:cs="Times New Roman"/>
          <w:sz w:val="24"/>
          <w:szCs w:val="24"/>
        </w:rPr>
        <w:t xml:space="preserve"> (</w:t>
      </w:r>
      <w:r w:rsidR="00DB69C5">
        <w:rPr>
          <w:rFonts w:ascii="Times New Roman" w:hAnsi="Times New Roman" w:cs="Times New Roman"/>
          <w:sz w:val="24"/>
          <w:szCs w:val="24"/>
        </w:rPr>
        <w:t xml:space="preserve">septiembre de </w:t>
      </w:r>
      <w:r w:rsidRPr="00EE3D94">
        <w:rPr>
          <w:rFonts w:ascii="Times New Roman" w:hAnsi="Times New Roman" w:cs="Times New Roman"/>
          <w:sz w:val="24"/>
          <w:szCs w:val="24"/>
        </w:rPr>
        <w:t>2001)</w:t>
      </w:r>
      <w:r w:rsidR="005C0421">
        <w:rPr>
          <w:rFonts w:ascii="Times New Roman" w:hAnsi="Times New Roman" w:cs="Times New Roman"/>
          <w:sz w:val="24"/>
          <w:szCs w:val="24"/>
        </w:rPr>
        <w:t>,</w:t>
      </w:r>
      <w:r w:rsidRPr="00EE3D94">
        <w:rPr>
          <w:rFonts w:ascii="Times New Roman" w:hAnsi="Times New Roman" w:cs="Times New Roman"/>
          <w:sz w:val="24"/>
          <w:szCs w:val="24"/>
        </w:rPr>
        <w:t xml:space="preserve"> la opción social </w:t>
      </w:r>
      <w:r w:rsidR="000430FE" w:rsidRPr="00EE3D94">
        <w:rPr>
          <w:rFonts w:ascii="Times New Roman" w:hAnsi="Times New Roman" w:cs="Times New Roman"/>
          <w:sz w:val="24"/>
          <w:szCs w:val="24"/>
        </w:rPr>
        <w:t>es un nuevo recurso que fortalece a</w:t>
      </w:r>
      <w:r w:rsidRPr="00EE3D94">
        <w:rPr>
          <w:rFonts w:ascii="Times New Roman" w:hAnsi="Times New Roman" w:cs="Times New Roman"/>
          <w:sz w:val="24"/>
          <w:szCs w:val="24"/>
        </w:rPr>
        <w:t xml:space="preserve"> la rendición de cuentas vertical:</w:t>
      </w:r>
    </w:p>
    <w:p w14:paraId="42CFB036" w14:textId="34A7EF52" w:rsidR="00DC2B6E" w:rsidRDefault="00DC2B6E" w:rsidP="006735A7">
      <w:pPr>
        <w:pStyle w:val="Sinespaciado"/>
        <w:spacing w:line="360" w:lineRule="auto"/>
        <w:ind w:firstLine="708"/>
        <w:jc w:val="both"/>
        <w:rPr>
          <w:rFonts w:ascii="Times New Roman" w:eastAsia="Times New Roman" w:hAnsi="Times New Roman" w:cs="Times New Roman"/>
          <w:sz w:val="24"/>
          <w:szCs w:val="24"/>
        </w:rPr>
      </w:pPr>
    </w:p>
    <w:p w14:paraId="2994DF41" w14:textId="4F457882" w:rsidR="00DC2B6E" w:rsidRDefault="00DC2B6E" w:rsidP="006735A7">
      <w:pPr>
        <w:pStyle w:val="Sinespaciado"/>
        <w:spacing w:line="360" w:lineRule="auto"/>
        <w:ind w:firstLine="708"/>
        <w:jc w:val="both"/>
        <w:rPr>
          <w:rFonts w:ascii="Times New Roman" w:eastAsia="Times New Roman" w:hAnsi="Times New Roman" w:cs="Times New Roman"/>
          <w:sz w:val="24"/>
          <w:szCs w:val="24"/>
        </w:rPr>
      </w:pPr>
    </w:p>
    <w:p w14:paraId="372D0066" w14:textId="77777777" w:rsidR="00DC2B6E" w:rsidRPr="00EE3D94" w:rsidRDefault="00DC2B6E" w:rsidP="006735A7">
      <w:pPr>
        <w:pStyle w:val="Sinespaciado"/>
        <w:spacing w:line="360" w:lineRule="auto"/>
        <w:ind w:firstLine="708"/>
        <w:jc w:val="both"/>
        <w:rPr>
          <w:rFonts w:ascii="Times New Roman" w:eastAsia="Times New Roman" w:hAnsi="Times New Roman" w:cs="Times New Roman"/>
          <w:sz w:val="24"/>
          <w:szCs w:val="24"/>
        </w:rPr>
      </w:pPr>
    </w:p>
    <w:p w14:paraId="428213BB" w14:textId="77777777" w:rsidR="00E3089D" w:rsidRPr="00EE3D94" w:rsidRDefault="00E3089D" w:rsidP="00012A70">
      <w:pPr>
        <w:pStyle w:val="Sinespaciado"/>
        <w:spacing w:line="360" w:lineRule="auto"/>
        <w:jc w:val="both"/>
        <w:rPr>
          <w:rFonts w:ascii="Times New Roman" w:eastAsia="Times New Roman" w:hAnsi="Times New Roman" w:cs="Times New Roman"/>
          <w:sz w:val="24"/>
          <w:szCs w:val="24"/>
        </w:rPr>
      </w:pPr>
    </w:p>
    <w:p w14:paraId="133BC367" w14:textId="0BE42A84" w:rsidR="00E3089D" w:rsidRPr="00EE3D94" w:rsidRDefault="00E3089D" w:rsidP="00DC2B6E">
      <w:pPr>
        <w:pStyle w:val="Cuerpo"/>
        <w:spacing w:after="200" w:line="360" w:lineRule="auto"/>
        <w:ind w:left="708"/>
        <w:jc w:val="both"/>
        <w:rPr>
          <w:rFonts w:hAnsi="Times New Roman" w:cs="Times New Roman"/>
        </w:rPr>
      </w:pPr>
      <w:r w:rsidRPr="00EE3D94">
        <w:rPr>
          <w:rFonts w:hAnsi="Times New Roman" w:cs="Times New Roman"/>
        </w:rPr>
        <w:lastRenderedPageBreak/>
        <w:t xml:space="preserve">La </w:t>
      </w:r>
      <w:r w:rsidRPr="00EE3D94">
        <w:rPr>
          <w:rFonts w:hAnsi="Times New Roman" w:cs="Times New Roman"/>
          <w:i/>
        </w:rPr>
        <w:t>accountability</w:t>
      </w:r>
      <w:r w:rsidRPr="00EE3D94">
        <w:rPr>
          <w:rFonts w:hAnsi="Times New Roman" w:cs="Times New Roman"/>
        </w:rPr>
        <w:t xml:space="preserve"> social es un mecanismo de control vertical, no electoral, de las autoridades políticas basado en las acciones de un amplio espectro de asociaciones y movimientos ciudadanos</w:t>
      </w:r>
      <w:r w:rsidR="007E2AD3">
        <w:rPr>
          <w:rFonts w:hAnsi="Times New Roman" w:cs="Times New Roman"/>
        </w:rPr>
        <w:t>,</w:t>
      </w:r>
      <w:r w:rsidRPr="00EE3D94">
        <w:rPr>
          <w:rFonts w:hAnsi="Times New Roman" w:cs="Times New Roman"/>
        </w:rPr>
        <w:t xml:space="preserve"> así como en acciones mediáticas. Las acciones de estos actores tienen por objeto monitorear el comportamiento de los funcionarios públicos, exponer y denunciar actos ilegales de los mismos, y activar la operación de agencias horizontales de control. La </w:t>
      </w:r>
      <w:r w:rsidRPr="00EE3D94">
        <w:rPr>
          <w:rFonts w:hAnsi="Times New Roman" w:cs="Times New Roman"/>
          <w:i/>
        </w:rPr>
        <w:t>accountability</w:t>
      </w:r>
      <w:r w:rsidRPr="00EE3D94">
        <w:rPr>
          <w:rFonts w:hAnsi="Times New Roman" w:cs="Times New Roman"/>
        </w:rPr>
        <w:t xml:space="preserve"> social puede canalizarse tanto por vías institucionales y no institucionales (Smulovitz, </w:t>
      </w:r>
      <w:r w:rsidR="00DB69C5">
        <w:rPr>
          <w:rFonts w:hAnsi="Times New Roman" w:cs="Times New Roman"/>
        </w:rPr>
        <w:t xml:space="preserve">septiembre de </w:t>
      </w:r>
      <w:r w:rsidRPr="00EE3D94">
        <w:rPr>
          <w:rFonts w:hAnsi="Times New Roman" w:cs="Times New Roman"/>
        </w:rPr>
        <w:t>2001</w:t>
      </w:r>
      <w:r w:rsidR="00DB69C5">
        <w:rPr>
          <w:rFonts w:hAnsi="Times New Roman" w:cs="Times New Roman"/>
        </w:rPr>
        <w:t xml:space="preserve">, p. </w:t>
      </w:r>
      <w:r w:rsidRPr="00EE3D94">
        <w:rPr>
          <w:rFonts w:hAnsi="Times New Roman" w:cs="Times New Roman"/>
        </w:rPr>
        <w:t>3)</w:t>
      </w:r>
      <w:r w:rsidR="005C0421">
        <w:rPr>
          <w:rFonts w:hAnsi="Times New Roman" w:cs="Times New Roman"/>
        </w:rPr>
        <w:t>.</w:t>
      </w:r>
    </w:p>
    <w:p w14:paraId="2C658216" w14:textId="67BA71FA" w:rsidR="0046497E"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En el mismo sentido, Nuria Cunill (</w:t>
      </w:r>
      <w:r w:rsidR="00B14D16">
        <w:rPr>
          <w:rFonts w:hAnsi="Times New Roman" w:cs="Times New Roman"/>
        </w:rPr>
        <w:t xml:space="preserve">abril de </w:t>
      </w:r>
      <w:r w:rsidRPr="00EE3D94">
        <w:rPr>
          <w:rFonts w:hAnsi="Times New Roman" w:cs="Times New Roman"/>
        </w:rPr>
        <w:t>2007) afirma que</w:t>
      </w:r>
      <w:r w:rsidR="005C0421">
        <w:rPr>
          <w:rFonts w:hAnsi="Times New Roman" w:cs="Times New Roman"/>
        </w:rPr>
        <w:t>,</w:t>
      </w:r>
      <w:r w:rsidRPr="00EE3D94">
        <w:rPr>
          <w:rFonts w:hAnsi="Times New Roman" w:cs="Times New Roman"/>
        </w:rPr>
        <w:t xml:space="preserve"> mediante el control social</w:t>
      </w:r>
      <w:r w:rsidR="005C0421">
        <w:rPr>
          <w:rFonts w:hAnsi="Times New Roman" w:cs="Times New Roman"/>
        </w:rPr>
        <w:t>,</w:t>
      </w:r>
      <w:r w:rsidRPr="00EE3D94">
        <w:rPr>
          <w:rFonts w:hAnsi="Times New Roman" w:cs="Times New Roman"/>
        </w:rPr>
        <w:t xml:space="preserve"> es posible incidir de forma colectiva y efectiva en la rendición de cuentas, dado que los actores de la sociedad civil organizada, ONG o los medios de comunicación hacen efectivo este poder por medio del acceso a la información, a la libertad de expresión, la deliberación pública, la denuncia y los derechos de participación y de petición. Es decir, </w:t>
      </w:r>
      <w:r w:rsidRPr="00F84B32">
        <w:rPr>
          <w:rFonts w:hAnsi="Times New Roman" w:cs="Times New Roman"/>
        </w:rPr>
        <w:t xml:space="preserve">la rendición de cuentas social se apoya por un lado en los </w:t>
      </w:r>
      <w:r w:rsidRPr="00F84B32">
        <w:rPr>
          <w:rFonts w:hAnsi="Times New Roman" w:cs="Times New Roman"/>
          <w:i/>
        </w:rPr>
        <w:t>instrumentos de participación ciudadana</w:t>
      </w:r>
      <w:r w:rsidRPr="00F84B32">
        <w:rPr>
          <w:rFonts w:hAnsi="Times New Roman" w:cs="Times New Roman"/>
        </w:rPr>
        <w:t xml:space="preserve"> (acceso a la información, consultas públicas, deliberación pública, iniciativa ciudadana, contralorías ciudadanas, revocación del mandato) y</w:t>
      </w:r>
      <w:r w:rsidR="005C0421">
        <w:rPr>
          <w:rFonts w:hAnsi="Times New Roman" w:cs="Times New Roman"/>
        </w:rPr>
        <w:t>,</w:t>
      </w:r>
      <w:r w:rsidRPr="00F84B32">
        <w:rPr>
          <w:rFonts w:hAnsi="Times New Roman" w:cs="Times New Roman"/>
        </w:rPr>
        <w:t xml:space="preserve"> por el otro, en </w:t>
      </w:r>
      <w:r w:rsidRPr="00F84B32">
        <w:rPr>
          <w:rFonts w:hAnsi="Times New Roman" w:cs="Times New Roman"/>
          <w:i/>
        </w:rPr>
        <w:t>la intensidad de los reclamos</w:t>
      </w:r>
      <w:r w:rsidR="005C0421">
        <w:rPr>
          <w:rFonts w:hAnsi="Times New Roman" w:cs="Times New Roman"/>
          <w:i/>
        </w:rPr>
        <w:t>,</w:t>
      </w:r>
      <w:r w:rsidRPr="00F84B32">
        <w:rPr>
          <w:rFonts w:hAnsi="Times New Roman" w:cs="Times New Roman"/>
          <w:i/>
        </w:rPr>
        <w:t xml:space="preserve"> así como en el impacto de sus acciones para poder incidir en la opinión pública</w:t>
      </w:r>
      <w:r w:rsidRPr="00EE3D94">
        <w:rPr>
          <w:rFonts w:hAnsi="Times New Roman" w:cs="Times New Roman"/>
        </w:rPr>
        <w:t xml:space="preserve"> (poder de movimiento, poder comunicativo, cabildeo y/o presión). </w:t>
      </w:r>
    </w:p>
    <w:p w14:paraId="330CAC90" w14:textId="5ACF260C" w:rsidR="00932CDA" w:rsidRPr="00EE3D94" w:rsidRDefault="005C0421" w:rsidP="006735A7">
      <w:pPr>
        <w:pStyle w:val="Cuerpo"/>
        <w:spacing w:before="120" w:after="120" w:line="360" w:lineRule="auto"/>
        <w:ind w:firstLine="708"/>
        <w:jc w:val="both"/>
        <w:rPr>
          <w:rFonts w:hAnsi="Times New Roman" w:cs="Times New Roman"/>
        </w:rPr>
      </w:pPr>
      <w:r>
        <w:rPr>
          <w:rFonts w:hAnsi="Times New Roman" w:cs="Times New Roman"/>
        </w:rPr>
        <w:t>L</w:t>
      </w:r>
      <w:r w:rsidR="00BE381B" w:rsidRPr="00EE3D94">
        <w:rPr>
          <w:rFonts w:hAnsi="Times New Roman" w:cs="Times New Roman"/>
        </w:rPr>
        <w:t>a rendición de cuentas social busca controlar política y legalmente el comportamiento de los funcionarios públicos. Pese a la ausencia de sanciones, es posible que</w:t>
      </w:r>
      <w:r w:rsidR="00D42815">
        <w:rPr>
          <w:rFonts w:hAnsi="Times New Roman" w:cs="Times New Roman"/>
        </w:rPr>
        <w:t>,</w:t>
      </w:r>
      <w:r w:rsidR="00BE381B" w:rsidRPr="00EE3D94">
        <w:rPr>
          <w:rFonts w:hAnsi="Times New Roman" w:cs="Times New Roman"/>
        </w:rPr>
        <w:t xml:space="preserve"> con dichas acciones</w:t>
      </w:r>
      <w:r w:rsidR="00D42815">
        <w:rPr>
          <w:rFonts w:hAnsi="Times New Roman" w:cs="Times New Roman"/>
        </w:rPr>
        <w:t>,</w:t>
      </w:r>
      <w:r w:rsidR="00BE381B" w:rsidRPr="00EE3D94">
        <w:rPr>
          <w:rFonts w:hAnsi="Times New Roman" w:cs="Times New Roman"/>
        </w:rPr>
        <w:t xml:space="preserve"> se generen consecuencias materiales que se </w:t>
      </w:r>
      <w:r w:rsidR="00D42815" w:rsidRPr="00EE3D94">
        <w:rPr>
          <w:rFonts w:hAnsi="Times New Roman" w:cs="Times New Roman"/>
        </w:rPr>
        <w:t>manifiest</w:t>
      </w:r>
      <w:r w:rsidR="00D42815">
        <w:rPr>
          <w:rFonts w:hAnsi="Times New Roman" w:cs="Times New Roman"/>
        </w:rPr>
        <w:t>e</w:t>
      </w:r>
      <w:r w:rsidR="00D42815" w:rsidRPr="00EE3D94">
        <w:rPr>
          <w:rFonts w:hAnsi="Times New Roman" w:cs="Times New Roman"/>
        </w:rPr>
        <w:t xml:space="preserve">n </w:t>
      </w:r>
      <w:r w:rsidR="00BE381B" w:rsidRPr="00EE3D94">
        <w:rPr>
          <w:rFonts w:hAnsi="Times New Roman" w:cs="Times New Roman"/>
        </w:rPr>
        <w:t>institucionalmente, ya sea política o legalmente. Con ello</w:t>
      </w:r>
      <w:r w:rsidR="00D42815">
        <w:rPr>
          <w:rFonts w:hAnsi="Times New Roman" w:cs="Times New Roman"/>
        </w:rPr>
        <w:t>,</w:t>
      </w:r>
      <w:r w:rsidR="00BE381B" w:rsidRPr="00EE3D94">
        <w:rPr>
          <w:rFonts w:hAnsi="Times New Roman" w:cs="Times New Roman"/>
        </w:rPr>
        <w:t xml:space="preserve"> no solo es posible fortalecer a la ciudadanía, sino responsabilizar al legislador mediante el control social para monitorear, reaccionar e</w:t>
      </w:r>
      <w:r w:rsidR="00D42815">
        <w:rPr>
          <w:rFonts w:hAnsi="Times New Roman" w:cs="Times New Roman"/>
        </w:rPr>
        <w:t>,</w:t>
      </w:r>
      <w:r w:rsidR="00BE381B" w:rsidRPr="00EE3D94">
        <w:rPr>
          <w:rFonts w:hAnsi="Times New Roman" w:cs="Times New Roman"/>
        </w:rPr>
        <w:t xml:space="preserve"> incluso</w:t>
      </w:r>
      <w:r w:rsidR="00D42815">
        <w:rPr>
          <w:rFonts w:hAnsi="Times New Roman" w:cs="Times New Roman"/>
        </w:rPr>
        <w:t>,</w:t>
      </w:r>
      <w:r w:rsidR="00BE381B" w:rsidRPr="00EE3D94">
        <w:rPr>
          <w:rFonts w:hAnsi="Times New Roman" w:cs="Times New Roman"/>
        </w:rPr>
        <w:t xml:space="preserve"> incidir en las decisiones legislativas.</w:t>
      </w:r>
      <w:r w:rsidR="00BE381B" w:rsidRPr="00EE3D94">
        <w:rPr>
          <w:rStyle w:val="Refdenotaalpie"/>
          <w:rFonts w:hAnsi="Times New Roman" w:cs="Times New Roman"/>
        </w:rPr>
        <w:footnoteReference w:id="5"/>
      </w:r>
    </w:p>
    <w:p w14:paraId="4F0298D1" w14:textId="77777777" w:rsidR="00A65AA3" w:rsidRPr="00EE3D94" w:rsidRDefault="00A65AA3" w:rsidP="006854E2">
      <w:pPr>
        <w:pStyle w:val="Cuerpo"/>
        <w:spacing w:before="120" w:after="120" w:line="360" w:lineRule="auto"/>
        <w:jc w:val="both"/>
        <w:rPr>
          <w:rFonts w:hAnsi="Times New Roman" w:cs="Times New Roman"/>
        </w:rPr>
      </w:pPr>
    </w:p>
    <w:p w14:paraId="18277759" w14:textId="73C492D9" w:rsidR="00BE381B" w:rsidRDefault="00A332F3" w:rsidP="0084137A">
      <w:pPr>
        <w:pStyle w:val="Cuerpo"/>
        <w:spacing w:before="120" w:after="120"/>
        <w:jc w:val="center"/>
        <w:rPr>
          <w:rFonts w:hAnsi="Times New Roman" w:cs="Times New Roman"/>
          <w:noProof/>
          <w:lang w:val="es-ES" w:eastAsia="es-ES"/>
        </w:rPr>
      </w:pPr>
      <w:r w:rsidRPr="00EE3D94">
        <w:rPr>
          <w:rFonts w:hAnsi="Times New Roman" w:cs="Times New Roman"/>
        </w:rPr>
        <w:br w:type="column"/>
      </w:r>
      <w:r w:rsidR="00D143AF" w:rsidRPr="00D143AF">
        <w:rPr>
          <w:rFonts w:hAnsi="Times New Roman" w:cs="Times New Roman"/>
          <w:b/>
          <w:noProof/>
          <w:lang w:val="es-ES" w:eastAsia="es-ES"/>
        </w:rPr>
        <w:lastRenderedPageBreak/>
        <w:t>Figura 1</w:t>
      </w:r>
      <w:r w:rsidR="00D143AF">
        <w:rPr>
          <w:rFonts w:hAnsi="Times New Roman" w:cs="Times New Roman"/>
          <w:b/>
          <w:noProof/>
          <w:lang w:val="es-ES" w:eastAsia="es-ES"/>
        </w:rPr>
        <w:t>.</w:t>
      </w:r>
      <w:r w:rsidR="00D143AF">
        <w:rPr>
          <w:rFonts w:hAnsi="Times New Roman" w:cs="Times New Roman"/>
          <w:noProof/>
          <w:lang w:val="es-ES" w:eastAsia="es-ES"/>
        </w:rPr>
        <w:t xml:space="preserve"> Rendición de cuentas horizontal, vertical y social</w:t>
      </w:r>
    </w:p>
    <w:p w14:paraId="078091EF" w14:textId="77777777" w:rsidR="00D143AF" w:rsidRDefault="00D143AF" w:rsidP="0084137A">
      <w:pPr>
        <w:pStyle w:val="Cuerpo"/>
        <w:spacing w:before="120" w:after="120"/>
        <w:jc w:val="center"/>
        <w:rPr>
          <w:rFonts w:hAnsi="Times New Roman" w:cs="Times New Roman"/>
          <w:noProof/>
          <w:lang w:val="es-ES" w:eastAsia="es-ES"/>
        </w:rPr>
      </w:pPr>
    </w:p>
    <w:p w14:paraId="695C7904" w14:textId="66D018CE" w:rsidR="00D143AF" w:rsidRDefault="00D143AF" w:rsidP="0084137A">
      <w:pPr>
        <w:pStyle w:val="Cuerpo"/>
        <w:spacing w:before="120" w:after="120"/>
        <w:jc w:val="center"/>
        <w:rPr>
          <w:rFonts w:hAnsi="Times New Roman" w:cs="Times New Roman"/>
        </w:rPr>
      </w:pPr>
      <w:r>
        <w:rPr>
          <w:rFonts w:hAnsi="Times New Roman" w:cs="Times New Roman"/>
          <w:noProof/>
          <w:lang w:val="es-ES" w:eastAsia="es-ES"/>
        </w:rPr>
        <w:drawing>
          <wp:inline distT="0" distB="0" distL="0" distR="0" wp14:anchorId="3C92CB55" wp14:editId="177BE804">
            <wp:extent cx="5612130" cy="2532245"/>
            <wp:effectExtent l="0" t="0" r="1270" b="8255"/>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532245"/>
                    </a:xfrm>
                    <a:prstGeom prst="rect">
                      <a:avLst/>
                    </a:prstGeom>
                    <a:noFill/>
                    <a:ln>
                      <a:noFill/>
                    </a:ln>
                  </pic:spPr>
                </pic:pic>
              </a:graphicData>
            </a:graphic>
          </wp:inline>
        </w:drawing>
      </w:r>
    </w:p>
    <w:p w14:paraId="5BFEEC3D" w14:textId="5B96C9EC" w:rsidR="0084137A" w:rsidRPr="00ED2C5F" w:rsidRDefault="00F53C31" w:rsidP="0084137A">
      <w:pPr>
        <w:pStyle w:val="Cuerpo"/>
        <w:spacing w:before="120" w:after="120"/>
        <w:jc w:val="center"/>
        <w:rPr>
          <w:rFonts w:hAnsi="Times New Roman" w:cs="Times New Roman"/>
          <w:szCs w:val="20"/>
        </w:rPr>
      </w:pPr>
      <w:r w:rsidRPr="00ED2C5F">
        <w:rPr>
          <w:rFonts w:hAnsi="Times New Roman" w:cs="Times New Roman"/>
          <w:szCs w:val="20"/>
        </w:rPr>
        <w:t>Fuente: Elaboración Propia</w:t>
      </w:r>
    </w:p>
    <w:p w14:paraId="262F755D" w14:textId="77777777" w:rsidR="00BE381B" w:rsidRPr="00EE3D94" w:rsidRDefault="00BE381B" w:rsidP="00BE381B">
      <w:pPr>
        <w:pStyle w:val="Cuerpo"/>
        <w:spacing w:before="120" w:after="120" w:line="360" w:lineRule="auto"/>
        <w:jc w:val="both"/>
        <w:rPr>
          <w:rFonts w:hAnsi="Times New Roman" w:cs="Times New Roman"/>
        </w:rPr>
      </w:pPr>
    </w:p>
    <w:p w14:paraId="726AB457" w14:textId="58167B1C" w:rsidR="00E3089D"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Es posible </w:t>
      </w:r>
      <w:r w:rsidR="006F3C90" w:rsidRPr="00EE3D94">
        <w:rPr>
          <w:rFonts w:hAnsi="Times New Roman" w:cs="Times New Roman"/>
        </w:rPr>
        <w:t xml:space="preserve">afirmar </w:t>
      </w:r>
      <w:r w:rsidRPr="00EE3D94">
        <w:rPr>
          <w:rFonts w:hAnsi="Times New Roman" w:cs="Times New Roman"/>
        </w:rPr>
        <w:t xml:space="preserve">que la reformulación de la representación </w:t>
      </w:r>
      <w:r w:rsidR="00054907" w:rsidRPr="00EE3D94">
        <w:rPr>
          <w:rFonts w:hAnsi="Times New Roman" w:cs="Times New Roman"/>
        </w:rPr>
        <w:t xml:space="preserve">dentro de </w:t>
      </w:r>
      <w:r w:rsidR="000430FE" w:rsidRPr="00EE3D94">
        <w:rPr>
          <w:rFonts w:hAnsi="Times New Roman" w:cs="Times New Roman"/>
        </w:rPr>
        <w:t xml:space="preserve">los </w:t>
      </w:r>
      <w:r w:rsidRPr="00EE3D94">
        <w:rPr>
          <w:rFonts w:hAnsi="Times New Roman" w:cs="Times New Roman"/>
        </w:rPr>
        <w:t xml:space="preserve">mecanismos de apoyo ciudadano sea la clave de la influencia </w:t>
      </w:r>
      <w:r w:rsidR="00054907" w:rsidRPr="00EE3D94">
        <w:rPr>
          <w:rFonts w:hAnsi="Times New Roman" w:cs="Times New Roman"/>
        </w:rPr>
        <w:t>de estos</w:t>
      </w:r>
      <w:r w:rsidRPr="00EE3D94">
        <w:rPr>
          <w:rFonts w:hAnsi="Times New Roman" w:cs="Times New Roman"/>
        </w:rPr>
        <w:t xml:space="preserve"> en la agenda gubernamental y legislativa, el complemento educativo y el canal de información del representado para el ejercicio de la responsabilidad </w:t>
      </w:r>
      <w:r w:rsidR="000430FE" w:rsidRPr="00EE3D94">
        <w:rPr>
          <w:rFonts w:hAnsi="Times New Roman" w:cs="Times New Roman"/>
        </w:rPr>
        <w:t>y compromiso político</w:t>
      </w:r>
      <w:r w:rsidRPr="00EE3D94">
        <w:rPr>
          <w:rFonts w:hAnsi="Times New Roman" w:cs="Times New Roman"/>
        </w:rPr>
        <w:t>. E</w:t>
      </w:r>
      <w:r w:rsidR="00E778F2" w:rsidRPr="00EE3D94">
        <w:rPr>
          <w:rFonts w:hAnsi="Times New Roman" w:cs="Times New Roman"/>
        </w:rPr>
        <w:t>n otras palabras,</w:t>
      </w:r>
      <w:r w:rsidRPr="00EE3D94">
        <w:rPr>
          <w:rFonts w:hAnsi="Times New Roman" w:cs="Times New Roman"/>
        </w:rPr>
        <w:t xml:space="preserve"> </w:t>
      </w:r>
      <w:r w:rsidRPr="00F84B32">
        <w:rPr>
          <w:rFonts w:hAnsi="Times New Roman" w:cs="Times New Roman"/>
        </w:rPr>
        <w:t>la representación vinculada a la rendición de cuentas</w:t>
      </w:r>
      <w:r w:rsidRPr="00EE3D94">
        <w:rPr>
          <w:rFonts w:hAnsi="Times New Roman" w:cs="Times New Roman"/>
        </w:rPr>
        <w:t xml:space="preserve"> permite que los ciudadanos ejerzan influencia sobre la</w:t>
      </w:r>
      <w:r w:rsidR="00D42815">
        <w:rPr>
          <w:rFonts w:hAnsi="Times New Roman" w:cs="Times New Roman"/>
        </w:rPr>
        <w:t>s</w:t>
      </w:r>
      <w:r w:rsidRPr="00EE3D94">
        <w:rPr>
          <w:rFonts w:hAnsi="Times New Roman" w:cs="Times New Roman"/>
        </w:rPr>
        <w:t xml:space="preserve"> dec</w:t>
      </w:r>
      <w:r w:rsidR="00D5204F" w:rsidRPr="00EE3D94">
        <w:rPr>
          <w:rFonts w:hAnsi="Times New Roman" w:cs="Times New Roman"/>
        </w:rPr>
        <w:t>isiones públicas, la gestión,</w:t>
      </w:r>
      <w:r w:rsidRPr="00EE3D94">
        <w:rPr>
          <w:rFonts w:hAnsi="Times New Roman" w:cs="Times New Roman"/>
        </w:rPr>
        <w:t xml:space="preserve"> la opinión pública, controlar y fiscalizar la política gubernamental, establecer </w:t>
      </w:r>
      <w:r w:rsidR="00D42815">
        <w:rPr>
          <w:rFonts w:hAnsi="Times New Roman" w:cs="Times New Roman"/>
        </w:rPr>
        <w:t>-</w:t>
      </w:r>
      <w:r w:rsidRPr="00EE3D94">
        <w:rPr>
          <w:rFonts w:hAnsi="Times New Roman" w:cs="Times New Roman"/>
        </w:rPr>
        <w:t>sobre todo en los partidos de oposición</w:t>
      </w:r>
      <w:r w:rsidR="00D42815">
        <w:rPr>
          <w:rFonts w:hAnsi="Times New Roman" w:cs="Times New Roman"/>
        </w:rPr>
        <w:t>-</w:t>
      </w:r>
      <w:r w:rsidR="00D42815" w:rsidRPr="00EE3D94">
        <w:rPr>
          <w:rFonts w:hAnsi="Times New Roman" w:cs="Times New Roman"/>
        </w:rPr>
        <w:t xml:space="preserve"> </w:t>
      </w:r>
      <w:r w:rsidRPr="00EE3D94">
        <w:rPr>
          <w:rFonts w:hAnsi="Times New Roman" w:cs="Times New Roman"/>
        </w:rPr>
        <w:t xml:space="preserve">objetivos que justifiquen el consenso para alcanzar la gobernabilidad y formar opinión sobre la gestión del gobierno (Sánchez de Dios, 1995). </w:t>
      </w:r>
    </w:p>
    <w:p w14:paraId="4623B520" w14:textId="7F3A16BC" w:rsidR="006854E2" w:rsidRPr="00E43AA5" w:rsidRDefault="006854E2" w:rsidP="006854E2">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t xml:space="preserve">Acción </w:t>
      </w:r>
      <w:r w:rsidR="00D42815" w:rsidRPr="00E43AA5">
        <w:rPr>
          <w:rFonts w:ascii="Arial" w:eastAsia="Times New Roman" w:hAnsi="Arial" w:cs="Arial"/>
          <w:b/>
          <w:bCs/>
          <w:color w:val="auto"/>
          <w:bdr w:val="none" w:sz="0" w:space="0" w:color="auto"/>
          <w:lang w:val="es-MX" w:eastAsia="en-US"/>
        </w:rPr>
        <w:t xml:space="preserve">ciudadana </w:t>
      </w:r>
      <w:r w:rsidRPr="00E43AA5">
        <w:rPr>
          <w:rFonts w:ascii="Arial" w:eastAsia="Times New Roman" w:hAnsi="Arial" w:cs="Arial"/>
          <w:b/>
          <w:bCs/>
          <w:color w:val="auto"/>
          <w:bdr w:val="none" w:sz="0" w:space="0" w:color="auto"/>
          <w:lang w:val="es-MX" w:eastAsia="en-US"/>
        </w:rPr>
        <w:t xml:space="preserve">e </w:t>
      </w:r>
      <w:r w:rsidR="00D42815" w:rsidRPr="00E43AA5">
        <w:rPr>
          <w:rFonts w:ascii="Arial" w:eastAsia="Times New Roman" w:hAnsi="Arial" w:cs="Arial"/>
          <w:b/>
          <w:bCs/>
          <w:color w:val="auto"/>
          <w:bdr w:val="none" w:sz="0" w:space="0" w:color="auto"/>
          <w:lang w:val="es-MX" w:eastAsia="en-US"/>
        </w:rPr>
        <w:t xml:space="preserve">incidencia </w:t>
      </w:r>
      <w:r w:rsidRPr="00E43AA5">
        <w:rPr>
          <w:rFonts w:ascii="Arial" w:eastAsia="Times New Roman" w:hAnsi="Arial" w:cs="Arial"/>
          <w:b/>
          <w:bCs/>
          <w:color w:val="auto"/>
          <w:bdr w:val="none" w:sz="0" w:space="0" w:color="auto"/>
          <w:lang w:val="es-MX" w:eastAsia="en-US"/>
        </w:rPr>
        <w:t>en las decisiones legislativas</w:t>
      </w:r>
    </w:p>
    <w:p w14:paraId="029564BF" w14:textId="5DEE217F" w:rsidR="00E3089D" w:rsidRPr="00EE3D94" w:rsidRDefault="006854E2" w:rsidP="006735A7">
      <w:pPr>
        <w:pStyle w:val="Cuerpo"/>
        <w:spacing w:before="120" w:after="120" w:line="360" w:lineRule="auto"/>
        <w:ind w:firstLine="708"/>
        <w:jc w:val="both"/>
        <w:rPr>
          <w:rFonts w:hAnsi="Times New Roman" w:cs="Times New Roman"/>
        </w:rPr>
      </w:pPr>
      <w:r w:rsidRPr="00EE3D94">
        <w:rPr>
          <w:rFonts w:hAnsi="Times New Roman" w:cs="Times New Roman"/>
        </w:rPr>
        <w:t>L</w:t>
      </w:r>
      <w:r w:rsidR="00E3089D" w:rsidRPr="00EE3D94">
        <w:rPr>
          <w:rFonts w:hAnsi="Times New Roman" w:cs="Times New Roman"/>
        </w:rPr>
        <w:t>a representación</w:t>
      </w:r>
      <w:r w:rsidR="00D42815">
        <w:rPr>
          <w:rFonts w:hAnsi="Times New Roman" w:cs="Times New Roman"/>
        </w:rPr>
        <w:t>,</w:t>
      </w:r>
      <w:r w:rsidR="00E3089D" w:rsidRPr="00EE3D94">
        <w:rPr>
          <w:rFonts w:hAnsi="Times New Roman" w:cs="Times New Roman"/>
        </w:rPr>
        <w:t xml:space="preserve"> en relación con la rendición de cuentas vertical en sus vertientes electoral y social</w:t>
      </w:r>
      <w:r w:rsidR="00D42815">
        <w:rPr>
          <w:rFonts w:hAnsi="Times New Roman" w:cs="Times New Roman"/>
        </w:rPr>
        <w:t>,</w:t>
      </w:r>
      <w:r w:rsidR="00E3089D" w:rsidRPr="00EE3D94">
        <w:rPr>
          <w:rFonts w:hAnsi="Times New Roman" w:cs="Times New Roman"/>
        </w:rPr>
        <w:t xml:space="preserve"> tiene un sentido doble</w:t>
      </w:r>
      <w:r w:rsidR="00D42815">
        <w:rPr>
          <w:rFonts w:hAnsi="Times New Roman" w:cs="Times New Roman"/>
        </w:rPr>
        <w:t>.</w:t>
      </w:r>
      <w:r w:rsidR="00D42815" w:rsidRPr="00EE3D94">
        <w:rPr>
          <w:rFonts w:hAnsi="Times New Roman" w:cs="Times New Roman"/>
        </w:rPr>
        <w:t xml:space="preserve"> </w:t>
      </w:r>
      <w:r w:rsidR="00D42815">
        <w:rPr>
          <w:rFonts w:hAnsi="Times New Roman" w:cs="Times New Roman"/>
        </w:rPr>
        <w:t>P</w:t>
      </w:r>
      <w:r w:rsidR="00D42815" w:rsidRPr="00EE3D94">
        <w:rPr>
          <w:rFonts w:hAnsi="Times New Roman" w:cs="Times New Roman"/>
        </w:rPr>
        <w:t xml:space="preserve">or </w:t>
      </w:r>
      <w:r w:rsidR="00E3089D" w:rsidRPr="00EE3D94">
        <w:rPr>
          <w:rFonts w:hAnsi="Times New Roman" w:cs="Times New Roman"/>
        </w:rPr>
        <w:t xml:space="preserve">un lado, coexiste con marcos normativos que facilitan la intervención activa y el control legal de los ciudadanos de manera individual o colectiva en los asuntos públicos; por otro lado, el involucramiento de los ciudadanos en las </w:t>
      </w:r>
      <w:r w:rsidR="00E3089D" w:rsidRPr="00EE3D94">
        <w:rPr>
          <w:rFonts w:hAnsi="Times New Roman" w:cs="Times New Roman"/>
        </w:rPr>
        <w:lastRenderedPageBreak/>
        <w:t>decisiones supone un esfuerzo de organización y argumentación (Nino, 2003</w:t>
      </w:r>
      <w:r w:rsidR="00D42815">
        <w:rPr>
          <w:rFonts w:hAnsi="Times New Roman" w:cs="Times New Roman"/>
        </w:rPr>
        <w:t>;</w:t>
      </w:r>
      <w:r w:rsidR="00E3089D" w:rsidRPr="00EE3D94">
        <w:rPr>
          <w:rFonts w:hAnsi="Times New Roman" w:cs="Times New Roman"/>
        </w:rPr>
        <w:t xml:space="preserve"> Alexy, 2006) de la acción colectiva que interactúa entre los representantes y la sociedad organizada.</w:t>
      </w:r>
    </w:p>
    <w:p w14:paraId="48677DFC" w14:textId="1387E1E7" w:rsidR="006F3C90" w:rsidRPr="00EE3D94" w:rsidRDefault="006F6066" w:rsidP="006735A7">
      <w:pPr>
        <w:pStyle w:val="Cuerpo"/>
        <w:spacing w:before="120" w:after="120" w:line="360" w:lineRule="auto"/>
        <w:ind w:firstLine="708"/>
        <w:jc w:val="both"/>
        <w:rPr>
          <w:rFonts w:hAnsi="Times New Roman" w:cs="Times New Roman"/>
        </w:rPr>
      </w:pPr>
      <w:r w:rsidRPr="00EE3D94">
        <w:rPr>
          <w:rFonts w:hAnsi="Times New Roman" w:cs="Times New Roman"/>
        </w:rPr>
        <w:t>L</w:t>
      </w:r>
      <w:r w:rsidR="00E3089D" w:rsidRPr="00EE3D94">
        <w:rPr>
          <w:rFonts w:hAnsi="Times New Roman" w:cs="Times New Roman"/>
        </w:rPr>
        <w:t xml:space="preserve">os marcos normativos se componen de instrumentos legalmente establecidos en códigos o leyes que hacen referencia a los espacios en los que pueden participar los ciudadanos de manera colectiva o individual en los diversos campos sociales, económicos, culturales, políticos, ambientales, así como diversas actividades públicas locales y regionales. </w:t>
      </w:r>
    </w:p>
    <w:p w14:paraId="13A4F608" w14:textId="5EB61E64" w:rsidR="00A65AA3"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Los marcos normativos de participación ciudadana constituyen distintos niveles de acceso y vinculación con las decisiones. </w:t>
      </w:r>
      <w:r w:rsidRPr="00F84B32">
        <w:rPr>
          <w:rFonts w:hAnsi="Times New Roman" w:cs="Times New Roman"/>
        </w:rPr>
        <w:t xml:space="preserve">Los niveles de participación se amplían o reducen dependiendo del vínculo o el acceso al </w:t>
      </w:r>
      <w:r w:rsidR="000332B6" w:rsidRPr="00F84B32">
        <w:rPr>
          <w:rFonts w:hAnsi="Times New Roman" w:cs="Times New Roman"/>
        </w:rPr>
        <w:t>proceso de d</w:t>
      </w:r>
      <w:r w:rsidR="00A65AA3" w:rsidRPr="00F84B32">
        <w:rPr>
          <w:rFonts w:hAnsi="Times New Roman" w:cs="Times New Roman"/>
        </w:rPr>
        <w:t>ecisión legislativa</w:t>
      </w:r>
      <w:r w:rsidR="00D42815">
        <w:rPr>
          <w:rFonts w:hAnsi="Times New Roman" w:cs="Times New Roman"/>
        </w:rPr>
        <w:t>,</w:t>
      </w:r>
      <w:r w:rsidR="00A65AA3" w:rsidRPr="00EE3D94">
        <w:rPr>
          <w:rFonts w:hAnsi="Times New Roman" w:cs="Times New Roman"/>
        </w:rPr>
        <w:t xml:space="preserve"> según se muestra en </w:t>
      </w:r>
      <w:r w:rsidR="00D42815">
        <w:rPr>
          <w:rFonts w:hAnsi="Times New Roman" w:cs="Times New Roman"/>
        </w:rPr>
        <w:t>la tabla</w:t>
      </w:r>
      <w:r w:rsidR="00A65AA3" w:rsidRPr="00EE3D94">
        <w:rPr>
          <w:rFonts w:hAnsi="Times New Roman" w:cs="Times New Roman"/>
        </w:rPr>
        <w:t xml:space="preserve"> cuatro</w:t>
      </w:r>
      <w:r w:rsidR="000332B6" w:rsidRPr="00EE3D94">
        <w:rPr>
          <w:rFonts w:hAnsi="Times New Roman" w:cs="Times New Roman"/>
        </w:rPr>
        <w:t>.</w:t>
      </w:r>
      <w:r w:rsidRPr="00EE3D94">
        <w:rPr>
          <w:rFonts w:hAnsi="Times New Roman" w:cs="Times New Roman"/>
        </w:rPr>
        <w:t xml:space="preserve"> Algunos mecanismos tienen una función consultiva en la medida en la que los ciudadanos pueden expresar opiniones respecto a las preferencias o niveles de </w:t>
      </w:r>
      <w:r w:rsidR="000F7F4B" w:rsidRPr="00EE3D94">
        <w:rPr>
          <w:rFonts w:hAnsi="Times New Roman" w:cs="Times New Roman"/>
        </w:rPr>
        <w:t>satisfacción</w:t>
      </w:r>
      <w:r w:rsidRPr="00EE3D94">
        <w:rPr>
          <w:rFonts w:hAnsi="Times New Roman" w:cs="Times New Roman"/>
        </w:rPr>
        <w:t xml:space="preserve"> sobre programas o políticas ofrecidos por el gobierno a través de </w:t>
      </w:r>
      <w:r w:rsidR="000F7F4B" w:rsidRPr="00EE3D94">
        <w:rPr>
          <w:rFonts w:hAnsi="Times New Roman" w:cs="Times New Roman"/>
        </w:rPr>
        <w:t>consultas públicas</w:t>
      </w:r>
      <w:r w:rsidRPr="00EE3D94">
        <w:rPr>
          <w:rFonts w:hAnsi="Times New Roman" w:cs="Times New Roman"/>
        </w:rPr>
        <w:t xml:space="preserve">, </w:t>
      </w:r>
      <w:r w:rsidR="000F7F4B" w:rsidRPr="00EE3D94">
        <w:rPr>
          <w:rFonts w:hAnsi="Times New Roman" w:cs="Times New Roman"/>
        </w:rPr>
        <w:t>referén</w:t>
      </w:r>
      <w:r w:rsidRPr="00EE3D94">
        <w:rPr>
          <w:rFonts w:hAnsi="Times New Roman" w:cs="Times New Roman"/>
        </w:rPr>
        <w:t>dums</w:t>
      </w:r>
      <w:r w:rsidR="008F2FCE">
        <w:rPr>
          <w:rFonts w:hAnsi="Times New Roman" w:cs="Times New Roman"/>
        </w:rPr>
        <w:t xml:space="preserve"> o</w:t>
      </w:r>
      <w:r w:rsidR="008F2FCE" w:rsidRPr="00EE3D94">
        <w:rPr>
          <w:rFonts w:hAnsi="Times New Roman" w:cs="Times New Roman"/>
        </w:rPr>
        <w:t xml:space="preserve"> </w:t>
      </w:r>
      <w:r w:rsidRPr="00EE3D94">
        <w:rPr>
          <w:rFonts w:hAnsi="Times New Roman" w:cs="Times New Roman"/>
        </w:rPr>
        <w:t>plebiscitos más o menos influyentes</w:t>
      </w:r>
      <w:r w:rsidR="008F2FCE">
        <w:rPr>
          <w:rFonts w:hAnsi="Times New Roman" w:cs="Times New Roman"/>
        </w:rPr>
        <w:t>,</w:t>
      </w:r>
      <w:r w:rsidRPr="00EE3D94">
        <w:rPr>
          <w:rFonts w:hAnsi="Times New Roman" w:cs="Times New Roman"/>
        </w:rPr>
        <w:t xml:space="preserve"> en tanto las opiniones sean vinculatorias con las decisiones gubernamentales. </w:t>
      </w:r>
    </w:p>
    <w:p w14:paraId="7DD75629" w14:textId="5494CB49" w:rsidR="00A65AA3"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Otros tien</w:t>
      </w:r>
      <w:r w:rsidR="00A65AA3" w:rsidRPr="00EE3D94">
        <w:rPr>
          <w:rFonts w:hAnsi="Times New Roman" w:cs="Times New Roman"/>
        </w:rPr>
        <w:t>en una función informativa como el acceso a la información</w:t>
      </w:r>
      <w:r w:rsidRPr="00EE3D94">
        <w:rPr>
          <w:rFonts w:hAnsi="Times New Roman" w:cs="Times New Roman"/>
        </w:rPr>
        <w:t xml:space="preserve">. </w:t>
      </w:r>
      <w:r w:rsidR="00A65AA3" w:rsidRPr="00EE3D94">
        <w:rPr>
          <w:rFonts w:hAnsi="Times New Roman" w:cs="Times New Roman"/>
        </w:rPr>
        <w:t xml:space="preserve">Estos instrumentos </w:t>
      </w:r>
      <w:r w:rsidRPr="00EE3D94">
        <w:rPr>
          <w:rFonts w:hAnsi="Times New Roman" w:cs="Times New Roman"/>
        </w:rPr>
        <w:t xml:space="preserve">son </w:t>
      </w:r>
      <w:r w:rsidR="000F7F4B" w:rsidRPr="00EE3D94">
        <w:rPr>
          <w:rFonts w:hAnsi="Times New Roman" w:cs="Times New Roman"/>
        </w:rPr>
        <w:t xml:space="preserve">mecanismos que </w:t>
      </w:r>
      <w:r w:rsidRPr="00EE3D94">
        <w:rPr>
          <w:rFonts w:hAnsi="Times New Roman" w:cs="Times New Roman"/>
        </w:rPr>
        <w:t>part</w:t>
      </w:r>
      <w:r w:rsidR="000F7F4B" w:rsidRPr="00EE3D94">
        <w:rPr>
          <w:rFonts w:hAnsi="Times New Roman" w:cs="Times New Roman"/>
        </w:rPr>
        <w:t>icipan</w:t>
      </w:r>
      <w:r w:rsidRPr="00EE3D94">
        <w:rPr>
          <w:rFonts w:hAnsi="Times New Roman" w:cs="Times New Roman"/>
        </w:rPr>
        <w:t xml:space="preserve"> de las políticas institucionales en la medida en la que identifican problemas e influyen en la agenda legislativa</w:t>
      </w:r>
      <w:r w:rsidR="008F2FCE">
        <w:rPr>
          <w:rFonts w:hAnsi="Times New Roman" w:cs="Times New Roman"/>
        </w:rPr>
        <w:t>.</w:t>
      </w:r>
      <w:r w:rsidR="008F2FCE" w:rsidRPr="00EE3D94">
        <w:rPr>
          <w:rFonts w:hAnsi="Times New Roman" w:cs="Times New Roman"/>
        </w:rPr>
        <w:t xml:space="preserve"> </w:t>
      </w:r>
      <w:r w:rsidR="008F2FCE">
        <w:rPr>
          <w:rFonts w:hAnsi="Times New Roman" w:cs="Times New Roman"/>
        </w:rPr>
        <w:t>O</w:t>
      </w:r>
      <w:r w:rsidR="008F2FCE" w:rsidRPr="00EE3D94">
        <w:rPr>
          <w:rFonts w:hAnsi="Times New Roman" w:cs="Times New Roman"/>
        </w:rPr>
        <w:t xml:space="preserve">tro </w:t>
      </w:r>
      <w:r w:rsidRPr="00EE3D94">
        <w:rPr>
          <w:rFonts w:hAnsi="Times New Roman" w:cs="Times New Roman"/>
        </w:rPr>
        <w:t xml:space="preserve">grupo lo constituyen los mecanismos que cumplen con funciones de gestión e información compartida, </w:t>
      </w:r>
      <w:r w:rsidR="008F2FCE">
        <w:rPr>
          <w:rFonts w:hAnsi="Times New Roman" w:cs="Times New Roman"/>
        </w:rPr>
        <w:t>en los que</w:t>
      </w:r>
      <w:r w:rsidR="008F2FCE" w:rsidRPr="00EE3D94">
        <w:rPr>
          <w:rFonts w:hAnsi="Times New Roman" w:cs="Times New Roman"/>
        </w:rPr>
        <w:t xml:space="preserve"> </w:t>
      </w:r>
      <w:r w:rsidRPr="00EE3D94">
        <w:rPr>
          <w:rFonts w:hAnsi="Times New Roman" w:cs="Times New Roman"/>
        </w:rPr>
        <w:t>los ciudadanos tienen la posibilidad de gestionar directamente un bien o servicio o</w:t>
      </w:r>
      <w:r w:rsidR="008F2FCE">
        <w:rPr>
          <w:rFonts w:hAnsi="Times New Roman" w:cs="Times New Roman"/>
        </w:rPr>
        <w:t>,</w:t>
      </w:r>
      <w:r w:rsidRPr="00EE3D94">
        <w:rPr>
          <w:rFonts w:hAnsi="Times New Roman" w:cs="Times New Roman"/>
        </w:rPr>
        <w:t xml:space="preserve"> bien</w:t>
      </w:r>
      <w:r w:rsidR="008F2FCE">
        <w:rPr>
          <w:rFonts w:hAnsi="Times New Roman" w:cs="Times New Roman"/>
        </w:rPr>
        <w:t>,</w:t>
      </w:r>
      <w:r w:rsidRPr="00EE3D94">
        <w:rPr>
          <w:rFonts w:hAnsi="Times New Roman" w:cs="Times New Roman"/>
        </w:rPr>
        <w:t xml:space="preserve"> son considerados para compartir información mediante el acceso directo a comités legislativos, debates con especialistas, organización de eventos académicos</w:t>
      </w:r>
      <w:r w:rsidR="008F2FCE">
        <w:rPr>
          <w:rFonts w:hAnsi="Times New Roman" w:cs="Times New Roman"/>
        </w:rPr>
        <w:t xml:space="preserve"> y</w:t>
      </w:r>
      <w:r w:rsidR="008F2FCE" w:rsidRPr="00EE3D94">
        <w:rPr>
          <w:rFonts w:hAnsi="Times New Roman" w:cs="Times New Roman"/>
        </w:rPr>
        <w:t xml:space="preserve"> </w:t>
      </w:r>
      <w:r w:rsidRPr="00EE3D94">
        <w:rPr>
          <w:rFonts w:hAnsi="Times New Roman" w:cs="Times New Roman"/>
        </w:rPr>
        <w:t xml:space="preserve">promoción de reformas, entre los principales. </w:t>
      </w:r>
    </w:p>
    <w:p w14:paraId="326BA793" w14:textId="77777777" w:rsidR="005E0DD3" w:rsidRPr="00EE3D94" w:rsidRDefault="005E0DD3" w:rsidP="006854E2">
      <w:pPr>
        <w:pStyle w:val="Cuerpo"/>
        <w:spacing w:before="120" w:after="120" w:line="360" w:lineRule="auto"/>
        <w:jc w:val="both"/>
        <w:rPr>
          <w:rFonts w:hAnsi="Times New Roman" w:cs="Times New Roman"/>
        </w:rPr>
      </w:pPr>
    </w:p>
    <w:p w14:paraId="67088E1D" w14:textId="77777777" w:rsidR="005E0DD3" w:rsidRPr="00EE3D94" w:rsidRDefault="005E0DD3" w:rsidP="006854E2">
      <w:pPr>
        <w:pStyle w:val="Cuerpo"/>
        <w:spacing w:before="120" w:after="120" w:line="360" w:lineRule="auto"/>
        <w:jc w:val="both"/>
        <w:rPr>
          <w:rFonts w:hAnsi="Times New Roman" w:cs="Times New Roman"/>
        </w:rPr>
      </w:pPr>
    </w:p>
    <w:p w14:paraId="4E40D4F6" w14:textId="77777777" w:rsidR="005E0DD3" w:rsidRPr="00EE3D94" w:rsidRDefault="005E0DD3" w:rsidP="006854E2">
      <w:pPr>
        <w:pStyle w:val="Cuerpo"/>
        <w:spacing w:before="120" w:after="120" w:line="360" w:lineRule="auto"/>
        <w:jc w:val="both"/>
        <w:rPr>
          <w:rFonts w:hAnsi="Times New Roman" w:cs="Times New Roman"/>
        </w:rPr>
      </w:pPr>
    </w:p>
    <w:p w14:paraId="2963DB11" w14:textId="77777777" w:rsidR="005E0DD3" w:rsidRPr="00EE3D94" w:rsidRDefault="005E0DD3" w:rsidP="006854E2">
      <w:pPr>
        <w:pStyle w:val="Cuerpo"/>
        <w:spacing w:before="120" w:after="120" w:line="360" w:lineRule="auto"/>
        <w:jc w:val="both"/>
        <w:rPr>
          <w:rFonts w:hAnsi="Times New Roman" w:cs="Times New Roman"/>
        </w:rPr>
      </w:pPr>
    </w:p>
    <w:p w14:paraId="1C9EAACC" w14:textId="26878E18" w:rsidR="000A158D" w:rsidRDefault="00AF6E64" w:rsidP="0084137A">
      <w:pPr>
        <w:pStyle w:val="Cuerpo"/>
        <w:spacing w:before="120" w:after="120" w:line="360" w:lineRule="auto"/>
        <w:jc w:val="center"/>
        <w:rPr>
          <w:rFonts w:hAnsi="Times New Roman" w:cs="Times New Roman"/>
          <w:noProof/>
          <w:sz w:val="20"/>
          <w:szCs w:val="20"/>
          <w:lang w:val="es-ES" w:eastAsia="es-ES"/>
        </w:rPr>
      </w:pPr>
      <w:r w:rsidRPr="00EE3D94">
        <w:rPr>
          <w:rFonts w:hAnsi="Times New Roman" w:cs="Times New Roman"/>
          <w:sz w:val="20"/>
          <w:szCs w:val="20"/>
        </w:rPr>
        <w:br w:type="column"/>
      </w:r>
      <w:r w:rsidR="00D7148D" w:rsidRPr="00B66D0A">
        <w:rPr>
          <w:rFonts w:hAnsi="Times New Roman" w:cs="Times New Roman"/>
          <w:b/>
          <w:noProof/>
          <w:sz w:val="20"/>
          <w:szCs w:val="20"/>
          <w:lang w:val="es-ES" w:eastAsia="es-ES"/>
        </w:rPr>
        <w:lastRenderedPageBreak/>
        <w:t>Tabla 4.</w:t>
      </w:r>
      <w:r w:rsidR="00D7148D">
        <w:rPr>
          <w:rFonts w:hAnsi="Times New Roman" w:cs="Times New Roman"/>
          <w:noProof/>
          <w:sz w:val="20"/>
          <w:szCs w:val="20"/>
          <w:lang w:val="es-ES" w:eastAsia="es-ES"/>
        </w:rPr>
        <w:t xml:space="preserve"> </w:t>
      </w:r>
      <w:r w:rsidR="00B66D0A">
        <w:rPr>
          <w:rFonts w:hAnsi="Times New Roman" w:cs="Times New Roman"/>
          <w:noProof/>
          <w:sz w:val="20"/>
          <w:szCs w:val="20"/>
          <w:lang w:val="es-ES" w:eastAsia="es-ES"/>
        </w:rPr>
        <w:t>Marcos Normativos y Niveles de Participación</w:t>
      </w:r>
    </w:p>
    <w:p w14:paraId="3A428F7D" w14:textId="1D3092E7" w:rsidR="00B66D0A" w:rsidRPr="00EE3D94" w:rsidRDefault="00B66D0A" w:rsidP="0084137A">
      <w:pPr>
        <w:pStyle w:val="Cuerpo"/>
        <w:spacing w:before="120" w:after="120" w:line="360" w:lineRule="auto"/>
        <w:jc w:val="center"/>
        <w:rPr>
          <w:rFonts w:hAnsi="Times New Roman" w:cs="Times New Roman"/>
          <w:sz w:val="20"/>
          <w:szCs w:val="20"/>
        </w:rPr>
      </w:pPr>
      <w:r>
        <w:rPr>
          <w:rFonts w:hAnsi="Times New Roman" w:cs="Times New Roman"/>
          <w:noProof/>
          <w:sz w:val="20"/>
          <w:szCs w:val="20"/>
          <w:lang w:val="es-ES" w:eastAsia="es-ES"/>
        </w:rPr>
        <w:drawing>
          <wp:inline distT="0" distB="0" distL="0" distR="0" wp14:anchorId="474554AA" wp14:editId="57D55D75">
            <wp:extent cx="5612130" cy="1698233"/>
            <wp:effectExtent l="0" t="0" r="1270" b="381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698233"/>
                    </a:xfrm>
                    <a:prstGeom prst="rect">
                      <a:avLst/>
                    </a:prstGeom>
                    <a:noFill/>
                    <a:ln>
                      <a:noFill/>
                    </a:ln>
                  </pic:spPr>
                </pic:pic>
              </a:graphicData>
            </a:graphic>
          </wp:inline>
        </w:drawing>
      </w:r>
    </w:p>
    <w:p w14:paraId="0E0B1287" w14:textId="65DB828A" w:rsidR="000A158D" w:rsidRPr="00AD59DF" w:rsidRDefault="00F53C31" w:rsidP="00AD59DF">
      <w:pPr>
        <w:pStyle w:val="Cuerpo"/>
        <w:jc w:val="both"/>
        <w:rPr>
          <w:rFonts w:hAnsi="Times New Roman" w:cs="Times New Roman"/>
          <w:sz w:val="20"/>
          <w:szCs w:val="20"/>
        </w:rPr>
      </w:pPr>
      <w:r w:rsidRPr="00AD59DF">
        <w:rPr>
          <w:rFonts w:hAnsi="Times New Roman" w:cs="Times New Roman"/>
          <w:sz w:val="20"/>
          <w:szCs w:val="20"/>
        </w:rPr>
        <w:t>S/V= Sin vincula</w:t>
      </w:r>
      <w:r w:rsidR="00AD59DF" w:rsidRPr="00AD59DF">
        <w:rPr>
          <w:rFonts w:hAnsi="Times New Roman" w:cs="Times New Roman"/>
          <w:sz w:val="20"/>
          <w:szCs w:val="20"/>
        </w:rPr>
        <w:t>ción</w:t>
      </w:r>
    </w:p>
    <w:p w14:paraId="24838D96" w14:textId="3116BEF5" w:rsidR="00AD59DF" w:rsidRPr="00AD59DF" w:rsidRDefault="00AD59DF" w:rsidP="00AD59DF">
      <w:pPr>
        <w:pStyle w:val="Cuerpo"/>
        <w:jc w:val="both"/>
        <w:rPr>
          <w:rFonts w:hAnsi="Times New Roman" w:cs="Times New Roman"/>
          <w:sz w:val="20"/>
          <w:szCs w:val="20"/>
        </w:rPr>
      </w:pPr>
      <w:r w:rsidRPr="00AD59DF">
        <w:rPr>
          <w:rFonts w:hAnsi="Times New Roman" w:cs="Times New Roman"/>
          <w:sz w:val="20"/>
          <w:szCs w:val="20"/>
        </w:rPr>
        <w:t>C/V= Con vinculación</w:t>
      </w:r>
    </w:p>
    <w:p w14:paraId="7803490F" w14:textId="621D6D8E" w:rsidR="00AD59DF" w:rsidRPr="00ED2C5F" w:rsidRDefault="00AD59DF" w:rsidP="00AD59DF">
      <w:pPr>
        <w:pStyle w:val="Cuerpo"/>
        <w:jc w:val="center"/>
        <w:rPr>
          <w:rFonts w:hAnsi="Times New Roman" w:cs="Times New Roman"/>
          <w:szCs w:val="20"/>
        </w:rPr>
      </w:pPr>
      <w:r w:rsidRPr="00ED2C5F">
        <w:rPr>
          <w:rFonts w:hAnsi="Times New Roman" w:cs="Times New Roman"/>
          <w:szCs w:val="20"/>
        </w:rPr>
        <w:t>Fuente: Elaboración propia</w:t>
      </w:r>
    </w:p>
    <w:p w14:paraId="4628195D" w14:textId="77777777" w:rsidR="00AD59DF" w:rsidRDefault="00AD59DF" w:rsidP="006735A7">
      <w:pPr>
        <w:pStyle w:val="Cuerpo"/>
        <w:spacing w:before="120" w:after="120" w:line="360" w:lineRule="auto"/>
        <w:ind w:firstLine="708"/>
        <w:jc w:val="both"/>
        <w:rPr>
          <w:rFonts w:hAnsi="Times New Roman" w:cs="Times New Roman"/>
        </w:rPr>
      </w:pPr>
    </w:p>
    <w:p w14:paraId="59D28448" w14:textId="21F32A56" w:rsidR="00E3089D" w:rsidRPr="00EE3D94" w:rsidRDefault="00E3089D"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Finalmente, los ciudadanos pueden incidir directamente en algunas decisiones a través de </w:t>
      </w:r>
      <w:r w:rsidRPr="00F84B32">
        <w:rPr>
          <w:rFonts w:hAnsi="Times New Roman" w:cs="Times New Roman"/>
        </w:rPr>
        <w:t>mecanismos de alta deliberación respecto al proceso de decisión</w:t>
      </w:r>
      <w:r w:rsidR="0006569F">
        <w:rPr>
          <w:rFonts w:hAnsi="Times New Roman" w:cs="Times New Roman"/>
        </w:rPr>
        <w:t>.</w:t>
      </w:r>
      <w:r w:rsidR="0006569F" w:rsidRPr="00F84B32">
        <w:rPr>
          <w:rFonts w:hAnsi="Times New Roman" w:cs="Times New Roman"/>
        </w:rPr>
        <w:t xml:space="preserve"> </w:t>
      </w:r>
      <w:r w:rsidR="0006569F">
        <w:rPr>
          <w:rFonts w:hAnsi="Times New Roman" w:cs="Times New Roman"/>
        </w:rPr>
        <w:t>D</w:t>
      </w:r>
      <w:r w:rsidR="0006569F" w:rsidRPr="00F84B32">
        <w:rPr>
          <w:rFonts w:hAnsi="Times New Roman" w:cs="Times New Roman"/>
        </w:rPr>
        <w:t xml:space="preserve">ichas </w:t>
      </w:r>
      <w:r w:rsidRPr="00F84B32">
        <w:rPr>
          <w:rFonts w:hAnsi="Times New Roman" w:cs="Times New Roman"/>
        </w:rPr>
        <w:t>instituciones contribuyen al proceso de toma de decisiones</w:t>
      </w:r>
      <w:r w:rsidR="0006569F">
        <w:rPr>
          <w:rFonts w:hAnsi="Times New Roman" w:cs="Times New Roman"/>
        </w:rPr>
        <w:t>,</w:t>
      </w:r>
      <w:r w:rsidRPr="00F84B32">
        <w:rPr>
          <w:rFonts w:hAnsi="Times New Roman" w:cs="Times New Roman"/>
        </w:rPr>
        <w:t xml:space="preserve"> no solo emitiendo opiniones, sino orientando las acciones del gobierno mediante el poder de decisión otorgado por instrumentos como la iniciativa popular,</w:t>
      </w:r>
      <w:r w:rsidRPr="00EE3D94">
        <w:rPr>
          <w:rFonts w:hAnsi="Times New Roman" w:cs="Times New Roman"/>
        </w:rPr>
        <w:t xml:space="preserve"> contralorías sociales, </w:t>
      </w:r>
      <w:r w:rsidR="00FA393F" w:rsidRPr="00EE3D94">
        <w:rPr>
          <w:rFonts w:hAnsi="Times New Roman" w:cs="Times New Roman"/>
        </w:rPr>
        <w:t>revocación</w:t>
      </w:r>
      <w:r w:rsidRPr="00EE3D94">
        <w:rPr>
          <w:rFonts w:hAnsi="Times New Roman" w:cs="Times New Roman"/>
        </w:rPr>
        <w:t xml:space="preserve"> del mandato o reconocimiento legal del cabildeo. </w:t>
      </w:r>
      <w:r w:rsidRPr="00EE3D94">
        <w:rPr>
          <w:rStyle w:val="Refdenotaalpie"/>
          <w:rFonts w:hAnsi="Times New Roman" w:cs="Times New Roman"/>
        </w:rPr>
        <w:footnoteReference w:id="6"/>
      </w:r>
    </w:p>
    <w:p w14:paraId="6944FD88" w14:textId="1741397C" w:rsidR="00A26CC1" w:rsidRPr="00EE3D94" w:rsidRDefault="008A2D43" w:rsidP="006735A7">
      <w:pPr>
        <w:pStyle w:val="Cuerpo"/>
        <w:spacing w:before="120" w:after="120" w:line="360" w:lineRule="auto"/>
        <w:ind w:firstLine="708"/>
        <w:jc w:val="both"/>
        <w:rPr>
          <w:rFonts w:hAnsi="Times New Roman" w:cs="Times New Roman"/>
        </w:rPr>
      </w:pPr>
      <w:r w:rsidRPr="00F84B32">
        <w:rPr>
          <w:rFonts w:hAnsi="Times New Roman" w:cs="Times New Roman"/>
        </w:rPr>
        <w:t>En términos generales, los países latinoamericanos cuentan con instancias institucionales de acceso ciudadano</w:t>
      </w:r>
      <w:r w:rsidR="00AE6AD4">
        <w:rPr>
          <w:rFonts w:hAnsi="Times New Roman" w:cs="Times New Roman"/>
        </w:rPr>
        <w:t>.</w:t>
      </w:r>
      <w:r w:rsidR="00AE6AD4" w:rsidRPr="00F84B32">
        <w:rPr>
          <w:rFonts w:hAnsi="Times New Roman" w:cs="Times New Roman"/>
        </w:rPr>
        <w:t xml:space="preserve"> </w:t>
      </w:r>
      <w:r w:rsidR="00AE6AD4">
        <w:rPr>
          <w:rFonts w:hAnsi="Times New Roman" w:cs="Times New Roman"/>
        </w:rPr>
        <w:t>S</w:t>
      </w:r>
      <w:r w:rsidR="00AE6AD4" w:rsidRPr="00F84B32">
        <w:rPr>
          <w:rFonts w:hAnsi="Times New Roman" w:cs="Times New Roman"/>
        </w:rPr>
        <w:t xml:space="preserve">in </w:t>
      </w:r>
      <w:r w:rsidRPr="00F84B32">
        <w:rPr>
          <w:rFonts w:hAnsi="Times New Roman" w:cs="Times New Roman"/>
        </w:rPr>
        <w:t>embargo, la eficacia de los instrumentos varía de país en país y depende del nivel de apertura, vinculación y responsabilidad a la que están sujetos los legisladores.</w:t>
      </w:r>
      <w:r w:rsidRPr="00EE3D94">
        <w:rPr>
          <w:rFonts w:hAnsi="Times New Roman" w:cs="Times New Roman"/>
        </w:rPr>
        <w:t xml:space="preserve"> </w:t>
      </w:r>
    </w:p>
    <w:p w14:paraId="3E468762" w14:textId="17FF4B48" w:rsidR="00E3089D" w:rsidRPr="00EE3D94" w:rsidRDefault="00333872" w:rsidP="006735A7">
      <w:pPr>
        <w:pStyle w:val="Cuerpo"/>
        <w:spacing w:before="120" w:after="120" w:line="360" w:lineRule="auto"/>
        <w:ind w:firstLine="708"/>
        <w:jc w:val="both"/>
        <w:rPr>
          <w:rFonts w:hAnsi="Times New Roman" w:cs="Times New Roman"/>
        </w:rPr>
      </w:pPr>
      <w:r w:rsidRPr="00EE3D94">
        <w:rPr>
          <w:rFonts w:hAnsi="Times New Roman" w:cs="Times New Roman"/>
        </w:rPr>
        <w:t>E</w:t>
      </w:r>
      <w:r w:rsidR="00F61B54" w:rsidRPr="00EE3D94">
        <w:rPr>
          <w:rFonts w:hAnsi="Times New Roman" w:cs="Times New Roman"/>
        </w:rPr>
        <w:t>n 2012</w:t>
      </w:r>
      <w:r w:rsidR="005B7FD1">
        <w:rPr>
          <w:rFonts w:hAnsi="Times New Roman" w:cs="Times New Roman"/>
        </w:rPr>
        <w:t>,</w:t>
      </w:r>
      <w:r w:rsidR="00F61B54" w:rsidRPr="00EE3D94">
        <w:rPr>
          <w:rFonts w:hAnsi="Times New Roman" w:cs="Times New Roman"/>
        </w:rPr>
        <w:t xml:space="preserve"> la comunidad pa</w:t>
      </w:r>
      <w:r w:rsidR="00A270EE" w:rsidRPr="00EE3D94">
        <w:rPr>
          <w:rFonts w:hAnsi="Times New Roman" w:cs="Times New Roman"/>
        </w:rPr>
        <w:t>rlamentaria internacional adoptó</w:t>
      </w:r>
      <w:r w:rsidR="00F61B54" w:rsidRPr="00EE3D94">
        <w:rPr>
          <w:rFonts w:hAnsi="Times New Roman" w:cs="Times New Roman"/>
        </w:rPr>
        <w:t xml:space="preserve"> la </w:t>
      </w:r>
      <w:r w:rsidR="00F61B54" w:rsidRPr="006735A7">
        <w:rPr>
          <w:rFonts w:hAnsi="Times New Roman" w:cs="Times New Roman"/>
          <w:i/>
        </w:rPr>
        <w:t xml:space="preserve">Declaración sobre </w:t>
      </w:r>
      <w:r w:rsidR="005B7FD1">
        <w:rPr>
          <w:rFonts w:hAnsi="Times New Roman" w:cs="Times New Roman"/>
          <w:i/>
        </w:rPr>
        <w:t xml:space="preserve">la </w:t>
      </w:r>
      <w:r w:rsidR="00F61B54" w:rsidRPr="006735A7">
        <w:rPr>
          <w:rFonts w:hAnsi="Times New Roman" w:cs="Times New Roman"/>
          <w:i/>
        </w:rPr>
        <w:t>Transparencia Parlamentaria</w:t>
      </w:r>
      <w:r w:rsidR="00AE6AD4">
        <w:rPr>
          <w:rFonts w:hAnsi="Times New Roman" w:cs="Times New Roman"/>
        </w:rPr>
        <w:t>,</w:t>
      </w:r>
      <w:r w:rsidR="00F61B54" w:rsidRPr="00EE3D94">
        <w:rPr>
          <w:rFonts w:hAnsi="Times New Roman" w:cs="Times New Roman"/>
        </w:rPr>
        <w:t xml:space="preserve"> debatida en Washington D.</w:t>
      </w:r>
      <w:r w:rsidR="007E2AD3">
        <w:rPr>
          <w:rFonts w:hAnsi="Times New Roman" w:cs="Times New Roman"/>
        </w:rPr>
        <w:t xml:space="preserve"> </w:t>
      </w:r>
      <w:r w:rsidR="00F61B54" w:rsidRPr="00EE3D94">
        <w:rPr>
          <w:rFonts w:hAnsi="Times New Roman" w:cs="Times New Roman"/>
        </w:rPr>
        <w:t>C</w:t>
      </w:r>
      <w:r w:rsidR="007E2AD3">
        <w:rPr>
          <w:rFonts w:hAnsi="Times New Roman" w:cs="Times New Roman"/>
        </w:rPr>
        <w:t>.</w:t>
      </w:r>
      <w:r w:rsidR="00AE6AD4">
        <w:rPr>
          <w:rFonts w:hAnsi="Times New Roman" w:cs="Times New Roman"/>
        </w:rPr>
        <w:t xml:space="preserve"> -en un</w:t>
      </w:r>
      <w:r w:rsidR="00F61B54" w:rsidRPr="00EE3D94">
        <w:rPr>
          <w:rFonts w:hAnsi="Times New Roman" w:cs="Times New Roman"/>
        </w:rPr>
        <w:t xml:space="preserve"> evento organizado por </w:t>
      </w:r>
      <w:r w:rsidR="00F61B54" w:rsidRPr="00EE3D94">
        <w:rPr>
          <w:rFonts w:hAnsi="Times New Roman" w:cs="Times New Roman"/>
        </w:rPr>
        <w:lastRenderedPageBreak/>
        <w:t>el National Democratic Institute Sunlight Foundation y la Red Latinoamericana por la Transparencia Legislativa</w:t>
      </w:r>
      <w:r w:rsidR="00AE6AD4">
        <w:rPr>
          <w:rFonts w:hAnsi="Times New Roman" w:cs="Times New Roman"/>
        </w:rPr>
        <w:t>-</w:t>
      </w:r>
      <w:r w:rsidR="00F61B54" w:rsidRPr="00EE3D94">
        <w:rPr>
          <w:rFonts w:hAnsi="Times New Roman" w:cs="Times New Roman"/>
        </w:rPr>
        <w:t xml:space="preserve">, firmada </w:t>
      </w:r>
      <w:r w:rsidR="00AE6AD4">
        <w:rPr>
          <w:rFonts w:hAnsi="Times New Roman" w:cs="Times New Roman"/>
        </w:rPr>
        <w:t xml:space="preserve">posteriormente </w:t>
      </w:r>
      <w:r w:rsidR="00F61B54" w:rsidRPr="00EE3D94">
        <w:rPr>
          <w:rFonts w:hAnsi="Times New Roman" w:cs="Times New Roman"/>
        </w:rPr>
        <w:t>en Roma en septiembre de</w:t>
      </w:r>
      <w:r w:rsidR="00AE6AD4">
        <w:rPr>
          <w:rFonts w:hAnsi="Times New Roman" w:cs="Times New Roman"/>
        </w:rPr>
        <w:t>l mismo año</w:t>
      </w:r>
      <w:r w:rsidR="00F61B54" w:rsidRPr="00EE3D94">
        <w:rPr>
          <w:rFonts w:hAnsi="Times New Roman" w:cs="Times New Roman"/>
        </w:rPr>
        <w:t xml:space="preserve">. De entre los acuerdos </w:t>
      </w:r>
      <w:r w:rsidRPr="00EE3D94">
        <w:rPr>
          <w:rFonts w:hAnsi="Times New Roman" w:cs="Times New Roman"/>
        </w:rPr>
        <w:t>suscritos por los países firmantes</w:t>
      </w:r>
      <w:r w:rsidR="00AE6AD4">
        <w:rPr>
          <w:rFonts w:hAnsi="Times New Roman" w:cs="Times New Roman"/>
        </w:rPr>
        <w:t>,</w:t>
      </w:r>
      <w:r w:rsidR="00F61B54" w:rsidRPr="00EE3D94">
        <w:rPr>
          <w:rFonts w:hAnsi="Times New Roman" w:cs="Times New Roman"/>
        </w:rPr>
        <w:t xml:space="preserve"> destacan: transparentar la información parlamentaria, facilitar el acceso a la informaci</w:t>
      </w:r>
      <w:r w:rsidR="0009632D" w:rsidRPr="00EE3D94">
        <w:rPr>
          <w:rFonts w:hAnsi="Times New Roman" w:cs="Times New Roman"/>
        </w:rPr>
        <w:t>ón a los ciudadanos, permitir el acceso electrónico y el análisis de la información parlamentaria en línea y formatos abiertos, entre los principales puntos. El objetivo del compromiso es el monitoreo de los cuerpos legislativos para aumentar su eficacia</w:t>
      </w:r>
      <w:r w:rsidR="00444E80" w:rsidRPr="00EE3D94">
        <w:rPr>
          <w:rFonts w:hAnsi="Times New Roman" w:cs="Times New Roman"/>
        </w:rPr>
        <w:t>,</w:t>
      </w:r>
      <w:r w:rsidR="0009632D" w:rsidRPr="00EE3D94">
        <w:rPr>
          <w:rFonts w:hAnsi="Times New Roman" w:cs="Times New Roman"/>
        </w:rPr>
        <w:t xml:space="preserve"> </w:t>
      </w:r>
      <w:r w:rsidR="00444E80" w:rsidRPr="00EE3D94">
        <w:rPr>
          <w:rFonts w:hAnsi="Times New Roman" w:cs="Times New Roman"/>
        </w:rPr>
        <w:t>a</w:t>
      </w:r>
      <w:r w:rsidR="0009632D" w:rsidRPr="00EE3D94">
        <w:rPr>
          <w:rFonts w:hAnsi="Times New Roman" w:cs="Times New Roman"/>
        </w:rPr>
        <w:t>brirlos a la transparencia y hacerlos responsa</w:t>
      </w:r>
      <w:r w:rsidR="009F224C" w:rsidRPr="00EE3D94">
        <w:rPr>
          <w:rFonts w:hAnsi="Times New Roman" w:cs="Times New Roman"/>
        </w:rPr>
        <w:t>bles frente a sus representados</w:t>
      </w:r>
      <w:r w:rsidR="0009632D" w:rsidRPr="00EE3D94">
        <w:rPr>
          <w:rFonts w:hAnsi="Times New Roman" w:cs="Times New Roman"/>
        </w:rPr>
        <w:t xml:space="preserve"> (</w:t>
      </w:r>
      <w:r w:rsidR="0009632D" w:rsidRPr="006735A7">
        <w:rPr>
          <w:rFonts w:hAnsi="Times New Roman" w:cs="Times New Roman"/>
          <w:i/>
        </w:rPr>
        <w:t>Declaración sobre la transparencia parlamentaria</w:t>
      </w:r>
      <w:r w:rsidR="0009632D" w:rsidRPr="00EE3D94">
        <w:rPr>
          <w:rFonts w:hAnsi="Times New Roman" w:cs="Times New Roman"/>
        </w:rPr>
        <w:t>, 2012)</w:t>
      </w:r>
      <w:r w:rsidR="00444E80" w:rsidRPr="00EE3D94">
        <w:rPr>
          <w:rFonts w:hAnsi="Times New Roman" w:cs="Times New Roman"/>
        </w:rPr>
        <w:t>.</w:t>
      </w:r>
    </w:p>
    <w:p w14:paraId="4B32D1B7" w14:textId="363A6275" w:rsidR="00207463" w:rsidRPr="00EE3D94" w:rsidRDefault="00207463" w:rsidP="006735A7">
      <w:pPr>
        <w:pStyle w:val="Cuerpo"/>
        <w:spacing w:before="120" w:after="120" w:line="360" w:lineRule="auto"/>
        <w:ind w:firstLine="708"/>
        <w:jc w:val="both"/>
        <w:rPr>
          <w:rFonts w:hAnsi="Times New Roman" w:cs="Times New Roman"/>
        </w:rPr>
      </w:pPr>
      <w:r w:rsidRPr="00EE3D94">
        <w:rPr>
          <w:rFonts w:hAnsi="Times New Roman" w:cs="Times New Roman"/>
        </w:rPr>
        <w:t>Como parte de los compromisos adoptados</w:t>
      </w:r>
      <w:r w:rsidR="008A6B9F" w:rsidRPr="00EE3D94">
        <w:rPr>
          <w:rFonts w:hAnsi="Times New Roman" w:cs="Times New Roman"/>
        </w:rPr>
        <w:t>,</w:t>
      </w:r>
      <w:r w:rsidRPr="00EE3D94">
        <w:rPr>
          <w:rFonts w:hAnsi="Times New Roman" w:cs="Times New Roman"/>
        </w:rPr>
        <w:t xml:space="preserve"> la región latinoamericana emprende acciones a través de diversas iniciativas promovidas algunas por la Red Parlamentaria Interamericana Pro Transparencia, Acceso a la Información Pública y Probidad </w:t>
      </w:r>
      <w:r w:rsidR="0043719C">
        <w:rPr>
          <w:rFonts w:hAnsi="Times New Roman" w:cs="Times New Roman"/>
        </w:rPr>
        <w:t>-</w:t>
      </w:r>
      <w:r w:rsidRPr="00EE3D94">
        <w:rPr>
          <w:rFonts w:hAnsi="Times New Roman" w:cs="Times New Roman"/>
        </w:rPr>
        <w:t>constituida en 2012 en Santiago de Chile</w:t>
      </w:r>
      <w:r w:rsidR="0043719C">
        <w:rPr>
          <w:rFonts w:hAnsi="Times New Roman" w:cs="Times New Roman"/>
        </w:rPr>
        <w:t>-</w:t>
      </w:r>
      <w:r w:rsidRPr="00EE3D94">
        <w:rPr>
          <w:rFonts w:hAnsi="Times New Roman" w:cs="Times New Roman"/>
        </w:rPr>
        <w:t>, as</w:t>
      </w:r>
      <w:r w:rsidR="00963238" w:rsidRPr="00EE3D94">
        <w:rPr>
          <w:rFonts w:hAnsi="Times New Roman" w:cs="Times New Roman"/>
        </w:rPr>
        <w:t>í como la Ali</w:t>
      </w:r>
      <w:r w:rsidRPr="00EE3D94">
        <w:rPr>
          <w:rFonts w:hAnsi="Times New Roman" w:cs="Times New Roman"/>
        </w:rPr>
        <w:t xml:space="preserve">anza por el Parlamento Abierto </w:t>
      </w:r>
      <w:r w:rsidR="0043719C" w:rsidRPr="00EE3D94">
        <w:rPr>
          <w:rFonts w:hAnsi="Times New Roman" w:cs="Times New Roman"/>
        </w:rPr>
        <w:t>firmad</w:t>
      </w:r>
      <w:r w:rsidR="0043719C">
        <w:rPr>
          <w:rFonts w:hAnsi="Times New Roman" w:cs="Times New Roman"/>
        </w:rPr>
        <w:t>a</w:t>
      </w:r>
      <w:r w:rsidR="0043719C" w:rsidRPr="00EE3D94">
        <w:rPr>
          <w:rFonts w:hAnsi="Times New Roman" w:cs="Times New Roman"/>
        </w:rPr>
        <w:t xml:space="preserve"> </w:t>
      </w:r>
      <w:r w:rsidRPr="00EE3D94">
        <w:rPr>
          <w:rFonts w:hAnsi="Times New Roman" w:cs="Times New Roman"/>
        </w:rPr>
        <w:t>en México en septiembre de 2014. Ambos acuerdos comprometen la participación de algunos países de la región como Chile, Argentina, México, Colombia, Ecuador, Guatemala, Perú, Venezuela, Uruguay, Paraguay, El Salvador y Costa Rica.</w:t>
      </w:r>
    </w:p>
    <w:p w14:paraId="2E1F7ED7" w14:textId="78DFE051" w:rsidR="00F57156" w:rsidRPr="00EE3D94" w:rsidRDefault="00207463" w:rsidP="006735A7">
      <w:pPr>
        <w:pStyle w:val="Cuerpo"/>
        <w:spacing w:before="120" w:after="120" w:line="360" w:lineRule="auto"/>
        <w:ind w:firstLine="708"/>
        <w:jc w:val="both"/>
        <w:rPr>
          <w:rFonts w:hAnsi="Times New Roman" w:cs="Times New Roman"/>
        </w:rPr>
      </w:pPr>
      <w:r w:rsidRPr="00EE3D94">
        <w:rPr>
          <w:rFonts w:hAnsi="Times New Roman" w:cs="Times New Roman"/>
        </w:rPr>
        <w:t>La intención de las alianzas ha cons</w:t>
      </w:r>
      <w:r w:rsidR="00963238" w:rsidRPr="00EE3D94">
        <w:rPr>
          <w:rFonts w:hAnsi="Times New Roman" w:cs="Times New Roman"/>
        </w:rPr>
        <w:t>istido</w:t>
      </w:r>
      <w:r w:rsidRPr="00EE3D94">
        <w:rPr>
          <w:rFonts w:hAnsi="Times New Roman" w:cs="Times New Roman"/>
        </w:rPr>
        <w:t xml:space="preserve"> por un lado en el fortalecimiento institucional de los congresos en América Latina</w:t>
      </w:r>
      <w:r w:rsidR="00F373C4">
        <w:rPr>
          <w:rFonts w:hAnsi="Times New Roman" w:cs="Times New Roman"/>
        </w:rPr>
        <w:t>,</w:t>
      </w:r>
      <w:r w:rsidRPr="00EE3D94">
        <w:rPr>
          <w:rFonts w:hAnsi="Times New Roman" w:cs="Times New Roman"/>
        </w:rPr>
        <w:t xml:space="preserve"> cuyo objetivo es apoyar la gestión legislativa, incorporar nuevas tecnologías e instrumentar mejores sistemas de información. Por otro lado, </w:t>
      </w:r>
      <w:r w:rsidR="009F224C" w:rsidRPr="00EE3D94">
        <w:rPr>
          <w:rFonts w:hAnsi="Times New Roman" w:cs="Times New Roman"/>
        </w:rPr>
        <w:t>las medidas buscan</w:t>
      </w:r>
      <w:r w:rsidRPr="00EE3D94">
        <w:rPr>
          <w:rFonts w:hAnsi="Times New Roman" w:cs="Times New Roman"/>
        </w:rPr>
        <w:t xml:space="preserve"> combat</w:t>
      </w:r>
      <w:r w:rsidR="009F224C" w:rsidRPr="00EE3D94">
        <w:rPr>
          <w:rFonts w:hAnsi="Times New Roman" w:cs="Times New Roman"/>
        </w:rPr>
        <w:t>ir</w:t>
      </w:r>
      <w:r w:rsidR="00F57156" w:rsidRPr="00EE3D94">
        <w:rPr>
          <w:rFonts w:hAnsi="Times New Roman" w:cs="Times New Roman"/>
        </w:rPr>
        <w:t xml:space="preserve"> la corrupción, adoptando normas de transparencia y derecho a la información, así como órganos que garanticen la rendición de cuentas y la interlocución ciudadana.</w:t>
      </w:r>
    </w:p>
    <w:p w14:paraId="57A1386F" w14:textId="57427D93" w:rsidR="00207463" w:rsidRDefault="00F57156" w:rsidP="006735A7">
      <w:pPr>
        <w:pStyle w:val="Cuerpo"/>
        <w:spacing w:before="120" w:after="120" w:line="360" w:lineRule="auto"/>
        <w:ind w:firstLine="708"/>
        <w:jc w:val="both"/>
        <w:rPr>
          <w:rFonts w:hAnsi="Times New Roman" w:cs="Times New Roman"/>
        </w:rPr>
      </w:pPr>
      <w:r w:rsidRPr="00EE3D94">
        <w:rPr>
          <w:rFonts w:hAnsi="Times New Roman" w:cs="Times New Roman"/>
        </w:rPr>
        <w:t>Ambos objetivos han sido discutidos e implementados de tal manera que las reuniones de las asociaciones en pro de la transparencia</w:t>
      </w:r>
      <w:r w:rsidR="00A270EE" w:rsidRPr="00EE3D94">
        <w:rPr>
          <w:rFonts w:hAnsi="Times New Roman" w:cs="Times New Roman"/>
        </w:rPr>
        <w:t xml:space="preserve"> han sido anuales de 2012 a 2016</w:t>
      </w:r>
      <w:r w:rsidRPr="00EE3D94">
        <w:rPr>
          <w:rFonts w:hAnsi="Times New Roman" w:cs="Times New Roman"/>
        </w:rPr>
        <w:t xml:space="preserve"> con el fin de homologar</w:t>
      </w:r>
      <w:r w:rsidR="00207463" w:rsidRPr="00EE3D94">
        <w:rPr>
          <w:rFonts w:hAnsi="Times New Roman" w:cs="Times New Roman"/>
        </w:rPr>
        <w:t xml:space="preserve"> </w:t>
      </w:r>
      <w:r w:rsidRPr="00EE3D94">
        <w:rPr>
          <w:rFonts w:hAnsi="Times New Roman" w:cs="Times New Roman"/>
        </w:rPr>
        <w:t xml:space="preserve">las metodologías de monitoreo </w:t>
      </w:r>
      <w:r w:rsidR="00F373C4" w:rsidRPr="00EE3D94">
        <w:rPr>
          <w:rFonts w:hAnsi="Times New Roman" w:cs="Times New Roman"/>
        </w:rPr>
        <w:t>aplicad</w:t>
      </w:r>
      <w:r w:rsidR="00F373C4">
        <w:rPr>
          <w:rFonts w:hAnsi="Times New Roman" w:cs="Times New Roman"/>
        </w:rPr>
        <w:t>a</w:t>
      </w:r>
      <w:r w:rsidR="00F373C4" w:rsidRPr="00EE3D94">
        <w:rPr>
          <w:rFonts w:hAnsi="Times New Roman" w:cs="Times New Roman"/>
        </w:rPr>
        <w:t xml:space="preserve">s </w:t>
      </w:r>
      <w:r w:rsidRPr="00EE3D94">
        <w:rPr>
          <w:rFonts w:hAnsi="Times New Roman" w:cs="Times New Roman"/>
        </w:rPr>
        <w:t>a los países de la región firmantes.</w:t>
      </w:r>
      <w:r w:rsidR="00963238" w:rsidRPr="00EE3D94">
        <w:rPr>
          <w:rFonts w:hAnsi="Times New Roman" w:cs="Times New Roman"/>
        </w:rPr>
        <w:t xml:space="preserve"> Sin embargo, ¿qué tan efectivos han sido los instrumentos de monitoreo y cuál ha sido la respuesta de los legisladores a esta empresa?</w:t>
      </w:r>
    </w:p>
    <w:p w14:paraId="2CD85C3A" w14:textId="77777777" w:rsidR="00471719" w:rsidRPr="00EE3D94" w:rsidRDefault="00471719" w:rsidP="006735A7">
      <w:pPr>
        <w:pStyle w:val="Cuerpo"/>
        <w:spacing w:before="120" w:after="120" w:line="360" w:lineRule="auto"/>
        <w:ind w:firstLine="708"/>
        <w:jc w:val="both"/>
        <w:rPr>
          <w:rFonts w:hAnsi="Times New Roman" w:cs="Times New Roman"/>
        </w:rPr>
      </w:pPr>
    </w:p>
    <w:p w14:paraId="1E9FF994" w14:textId="7ABCBD7B" w:rsidR="00954FFF" w:rsidRPr="00EE3D94" w:rsidRDefault="00963238" w:rsidP="006735A7">
      <w:pPr>
        <w:pStyle w:val="Cuerpo"/>
        <w:spacing w:before="120" w:after="120" w:line="360" w:lineRule="auto"/>
        <w:ind w:firstLine="708"/>
        <w:jc w:val="both"/>
        <w:rPr>
          <w:rFonts w:hAnsi="Times New Roman" w:cs="Times New Roman"/>
        </w:rPr>
      </w:pPr>
      <w:r w:rsidRPr="00EE3D94">
        <w:rPr>
          <w:rFonts w:hAnsi="Times New Roman" w:cs="Times New Roman"/>
        </w:rPr>
        <w:lastRenderedPageBreak/>
        <w:t xml:space="preserve">No obstante el compromiso adquirido por la comunidad parlamentaria de la región, </w:t>
      </w:r>
      <w:r w:rsidRPr="00F84B32">
        <w:rPr>
          <w:rFonts w:hAnsi="Times New Roman" w:cs="Times New Roman"/>
        </w:rPr>
        <w:t>no todos los países han cumplido los objetivos de la declaratoria</w:t>
      </w:r>
      <w:r w:rsidR="009F224C" w:rsidRPr="00F84B32">
        <w:rPr>
          <w:rFonts w:hAnsi="Times New Roman" w:cs="Times New Roman"/>
        </w:rPr>
        <w:t>.</w:t>
      </w:r>
      <w:r w:rsidR="009F224C" w:rsidRPr="00EE3D94">
        <w:rPr>
          <w:rFonts w:hAnsi="Times New Roman" w:cs="Times New Roman"/>
        </w:rPr>
        <w:t xml:space="preserve"> </w:t>
      </w:r>
      <w:r w:rsidR="00347A91" w:rsidRPr="00EE3D94">
        <w:rPr>
          <w:rFonts w:hAnsi="Times New Roman" w:cs="Times New Roman"/>
        </w:rPr>
        <w:t>Para empezar, e</w:t>
      </w:r>
      <w:r w:rsidR="00D41DFF" w:rsidRPr="00EE3D94">
        <w:rPr>
          <w:rFonts w:hAnsi="Times New Roman" w:cs="Times New Roman"/>
        </w:rPr>
        <w:t xml:space="preserve">l monitoreo </w:t>
      </w:r>
      <w:r w:rsidR="009F224C" w:rsidRPr="00EE3D94">
        <w:rPr>
          <w:rFonts w:hAnsi="Times New Roman" w:cs="Times New Roman"/>
        </w:rPr>
        <w:t>de los congresos en la región no ha sido análogo en todos los países</w:t>
      </w:r>
      <w:r w:rsidR="00F373C4">
        <w:rPr>
          <w:rFonts w:hAnsi="Times New Roman" w:cs="Times New Roman"/>
        </w:rPr>
        <w:t>;</w:t>
      </w:r>
      <w:r w:rsidR="00F373C4" w:rsidRPr="00EE3D94">
        <w:rPr>
          <w:rFonts w:hAnsi="Times New Roman" w:cs="Times New Roman"/>
        </w:rPr>
        <w:t xml:space="preserve"> </w:t>
      </w:r>
      <w:r w:rsidR="00347A91" w:rsidRPr="00EE3D94">
        <w:rPr>
          <w:rFonts w:hAnsi="Times New Roman" w:cs="Times New Roman"/>
        </w:rPr>
        <w:t>est</w:t>
      </w:r>
      <w:r w:rsidR="00B17F92" w:rsidRPr="00EE3D94">
        <w:rPr>
          <w:rFonts w:hAnsi="Times New Roman" w:cs="Times New Roman"/>
        </w:rPr>
        <w:t>e</w:t>
      </w:r>
      <w:r w:rsidR="009F224C" w:rsidRPr="00EE3D94">
        <w:rPr>
          <w:rFonts w:hAnsi="Times New Roman" w:cs="Times New Roman"/>
        </w:rPr>
        <w:t xml:space="preserve"> depende de los recursos técnicos, tecnológicos, de infraestructura y legales con los que cuenta cada uno de los parlamentos latinoamericanos. </w:t>
      </w:r>
    </w:p>
    <w:p w14:paraId="3BB9EB74" w14:textId="3CB126BA" w:rsidR="007033DF" w:rsidRPr="00EE3D94" w:rsidRDefault="003F7848"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En </w:t>
      </w:r>
      <w:r w:rsidR="00B9739B" w:rsidRPr="00EE3D94">
        <w:rPr>
          <w:rFonts w:hAnsi="Times New Roman" w:cs="Times New Roman"/>
        </w:rPr>
        <w:t xml:space="preserve">los informes sobre </w:t>
      </w:r>
      <w:r w:rsidRPr="00EE3D94">
        <w:rPr>
          <w:rFonts w:hAnsi="Times New Roman" w:cs="Times New Roman"/>
        </w:rPr>
        <w:t>el índice de transparencia legislativa</w:t>
      </w:r>
      <w:r w:rsidR="00F373C4">
        <w:rPr>
          <w:rFonts w:hAnsi="Times New Roman" w:cs="Times New Roman"/>
        </w:rPr>
        <w:t>,</w:t>
      </w:r>
      <w:r w:rsidRPr="00EE3D94">
        <w:rPr>
          <w:rFonts w:hAnsi="Times New Roman" w:cs="Times New Roman"/>
        </w:rPr>
        <w:t xml:space="preserve"> elaborado a raíz de los acuerdos suscritos por trece naciones latinoamericanas, se mide la transparencia en función de cuatro </w:t>
      </w:r>
      <w:r w:rsidR="00AF4764" w:rsidRPr="00EE3D94">
        <w:rPr>
          <w:rFonts w:hAnsi="Times New Roman" w:cs="Times New Roman"/>
        </w:rPr>
        <w:t>dimensiones</w:t>
      </w:r>
      <w:r w:rsidRPr="00EE3D94">
        <w:rPr>
          <w:rFonts w:hAnsi="Times New Roman" w:cs="Times New Roman"/>
        </w:rPr>
        <w:t xml:space="preserve">: </w:t>
      </w:r>
      <w:r w:rsidR="00AF4764" w:rsidRPr="00EE3D94">
        <w:rPr>
          <w:rFonts w:hAnsi="Times New Roman" w:cs="Times New Roman"/>
        </w:rPr>
        <w:t xml:space="preserve">normas de acceso a la información, </w:t>
      </w:r>
      <w:r w:rsidR="00B33FB6" w:rsidRPr="00EE3D94">
        <w:rPr>
          <w:rFonts w:hAnsi="Times New Roman" w:cs="Times New Roman"/>
        </w:rPr>
        <w:t>labor del congreso o asamblea, presupuesto y gestión administrativa y mecanismos de participación, atención ciudadana</w:t>
      </w:r>
      <w:r w:rsidR="00B9739B" w:rsidRPr="00EE3D94">
        <w:rPr>
          <w:rFonts w:hAnsi="Times New Roman" w:cs="Times New Roman"/>
        </w:rPr>
        <w:t xml:space="preserve"> (</w:t>
      </w:r>
      <w:r w:rsidR="0067016D">
        <w:rPr>
          <w:rFonts w:hAnsi="Times New Roman" w:cs="Times New Roman"/>
        </w:rPr>
        <w:t>Red Latinoamericana por la Transparencia Legislativa [RLTL]</w:t>
      </w:r>
      <w:r w:rsidR="00B9739B" w:rsidRPr="00EE3D94">
        <w:rPr>
          <w:rFonts w:hAnsi="Times New Roman" w:cs="Times New Roman"/>
        </w:rPr>
        <w:t>, 2016, pp. 57-62).</w:t>
      </w:r>
      <w:r w:rsidR="00B33FB6" w:rsidRPr="00EE3D94">
        <w:rPr>
          <w:rStyle w:val="Refdenotaalpie"/>
          <w:rFonts w:hAnsi="Times New Roman" w:cs="Times New Roman"/>
        </w:rPr>
        <w:footnoteReference w:id="7"/>
      </w:r>
      <w:r w:rsidR="00B33FB6" w:rsidRPr="00EE3D94">
        <w:rPr>
          <w:rFonts w:hAnsi="Times New Roman" w:cs="Times New Roman"/>
        </w:rPr>
        <w:t xml:space="preserve"> </w:t>
      </w:r>
    </w:p>
    <w:p w14:paraId="4F5681C3" w14:textId="0281216A" w:rsidR="008307F5" w:rsidRPr="00EE3D94" w:rsidRDefault="007033DF"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La dimensión norma </w:t>
      </w:r>
      <w:r w:rsidR="00F5740B" w:rsidRPr="00EE3D94">
        <w:rPr>
          <w:rFonts w:hAnsi="Times New Roman" w:cs="Times New Roman"/>
        </w:rPr>
        <w:t>observa la existencia de leyes o reglamentos en torno a la transparencia y la participación de la labor del Congreso, eval</w:t>
      </w:r>
      <w:r w:rsidR="008307F5" w:rsidRPr="00EE3D94">
        <w:rPr>
          <w:rFonts w:hAnsi="Times New Roman" w:cs="Times New Roman"/>
        </w:rPr>
        <w:t>úa la presencia</w:t>
      </w:r>
      <w:r w:rsidR="00F5740B" w:rsidRPr="00EE3D94">
        <w:rPr>
          <w:rFonts w:hAnsi="Times New Roman" w:cs="Times New Roman"/>
        </w:rPr>
        <w:t xml:space="preserve"> de prácticas efectivas de transparencia en el trabajo legislativo como la existencia d</w:t>
      </w:r>
      <w:r w:rsidR="008307F5" w:rsidRPr="00EE3D94">
        <w:rPr>
          <w:rFonts w:hAnsi="Times New Roman" w:cs="Times New Roman"/>
        </w:rPr>
        <w:t>e la regla misma;</w:t>
      </w:r>
      <w:r w:rsidR="00F5740B" w:rsidRPr="00EE3D94">
        <w:rPr>
          <w:rFonts w:hAnsi="Times New Roman" w:cs="Times New Roman"/>
        </w:rPr>
        <w:t xml:space="preserve"> revisa los reglamentos en función, su claridad, exhaustividad, facultades, atribucion</w:t>
      </w:r>
      <w:r w:rsidR="008307F5" w:rsidRPr="00EE3D94">
        <w:rPr>
          <w:rFonts w:hAnsi="Times New Roman" w:cs="Times New Roman"/>
        </w:rPr>
        <w:t>es, independencia, cumplimiento y</w:t>
      </w:r>
      <w:r w:rsidR="00F5740B" w:rsidRPr="00EE3D94">
        <w:rPr>
          <w:rFonts w:hAnsi="Times New Roman" w:cs="Times New Roman"/>
        </w:rPr>
        <w:t xml:space="preserve"> sanción.</w:t>
      </w:r>
      <w:r w:rsidR="008307F5" w:rsidRPr="00EE3D94">
        <w:rPr>
          <w:rFonts w:hAnsi="Times New Roman" w:cs="Times New Roman"/>
        </w:rPr>
        <w:t xml:space="preserve"> </w:t>
      </w:r>
      <w:r w:rsidR="00F373C4">
        <w:rPr>
          <w:rFonts w:hAnsi="Times New Roman" w:cs="Times New Roman"/>
        </w:rPr>
        <w:t>También v</w:t>
      </w:r>
      <w:r w:rsidR="00F373C4" w:rsidRPr="00EE3D94">
        <w:rPr>
          <w:rFonts w:hAnsi="Times New Roman" w:cs="Times New Roman"/>
        </w:rPr>
        <w:t xml:space="preserve">alora </w:t>
      </w:r>
      <w:r w:rsidR="00F5740B" w:rsidRPr="00EE3D94">
        <w:rPr>
          <w:rFonts w:hAnsi="Times New Roman" w:cs="Times New Roman"/>
        </w:rPr>
        <w:t>las medid</w:t>
      </w:r>
      <w:r w:rsidR="008307F5" w:rsidRPr="00EE3D94">
        <w:rPr>
          <w:rFonts w:hAnsi="Times New Roman" w:cs="Times New Roman"/>
        </w:rPr>
        <w:t>a</w:t>
      </w:r>
      <w:r w:rsidR="00F5740B" w:rsidRPr="00EE3D94">
        <w:rPr>
          <w:rFonts w:hAnsi="Times New Roman" w:cs="Times New Roman"/>
        </w:rPr>
        <w:t>s sobre prácticas de cabildeo y la influencia a través</w:t>
      </w:r>
      <w:r w:rsidR="008307F5" w:rsidRPr="00EE3D94">
        <w:rPr>
          <w:rFonts w:hAnsi="Times New Roman" w:cs="Times New Roman"/>
        </w:rPr>
        <w:t xml:space="preserve"> de la regulación de la praxis</w:t>
      </w:r>
      <w:r w:rsidR="00F373C4">
        <w:rPr>
          <w:rFonts w:hAnsi="Times New Roman" w:cs="Times New Roman"/>
        </w:rPr>
        <w:t>,</w:t>
      </w:r>
      <w:r w:rsidR="00F373C4" w:rsidRPr="00EE3D94">
        <w:rPr>
          <w:rFonts w:hAnsi="Times New Roman" w:cs="Times New Roman"/>
        </w:rPr>
        <w:t xml:space="preserve"> </w:t>
      </w:r>
      <w:r w:rsidR="00F5740B" w:rsidRPr="00EE3D94">
        <w:rPr>
          <w:rFonts w:hAnsi="Times New Roman" w:cs="Times New Roman"/>
        </w:rPr>
        <w:t xml:space="preserve">la obligatoriedad de la presentación jurada de patrimonio, de </w:t>
      </w:r>
      <w:r w:rsidR="008307F5" w:rsidRPr="00EE3D94">
        <w:rPr>
          <w:rFonts w:hAnsi="Times New Roman" w:cs="Times New Roman"/>
        </w:rPr>
        <w:t>la publicación</w:t>
      </w:r>
      <w:r w:rsidR="00F5740B" w:rsidRPr="00EE3D94">
        <w:rPr>
          <w:rFonts w:hAnsi="Times New Roman" w:cs="Times New Roman"/>
        </w:rPr>
        <w:t xml:space="preserve"> </w:t>
      </w:r>
      <w:r w:rsidR="008307F5" w:rsidRPr="00EE3D94">
        <w:rPr>
          <w:rFonts w:hAnsi="Times New Roman" w:cs="Times New Roman"/>
        </w:rPr>
        <w:t xml:space="preserve">de </w:t>
      </w:r>
      <w:r w:rsidR="00F5740B" w:rsidRPr="00EE3D94">
        <w:rPr>
          <w:rFonts w:hAnsi="Times New Roman" w:cs="Times New Roman"/>
        </w:rPr>
        <w:t>los asuntos tratados en el pleno y su difusión</w:t>
      </w:r>
      <w:r w:rsidR="00F373C4">
        <w:rPr>
          <w:rFonts w:hAnsi="Times New Roman" w:cs="Times New Roman"/>
        </w:rPr>
        <w:t>,</w:t>
      </w:r>
      <w:r w:rsidR="00F373C4" w:rsidRPr="00EE3D94">
        <w:rPr>
          <w:rFonts w:hAnsi="Times New Roman" w:cs="Times New Roman"/>
        </w:rPr>
        <w:t xml:space="preserve"> </w:t>
      </w:r>
      <w:r w:rsidR="008307F5" w:rsidRPr="00EE3D94">
        <w:rPr>
          <w:rFonts w:hAnsi="Times New Roman" w:cs="Times New Roman"/>
        </w:rPr>
        <w:t xml:space="preserve">así como </w:t>
      </w:r>
      <w:r w:rsidR="00F5740B" w:rsidRPr="00EE3D94">
        <w:rPr>
          <w:rFonts w:hAnsi="Times New Roman" w:cs="Times New Roman"/>
        </w:rPr>
        <w:t>las actividades de los congresistas y la publicidad del gasto</w:t>
      </w:r>
      <w:r w:rsidR="008307F5" w:rsidRPr="00EE3D94">
        <w:rPr>
          <w:rFonts w:hAnsi="Times New Roman" w:cs="Times New Roman"/>
        </w:rPr>
        <w:t>.</w:t>
      </w:r>
    </w:p>
    <w:p w14:paraId="4E7C1C9D" w14:textId="20BFE4B6" w:rsidR="00B45245" w:rsidRPr="00EE3D94" w:rsidRDefault="008307F5"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La labor del </w:t>
      </w:r>
      <w:r w:rsidR="00F373C4">
        <w:rPr>
          <w:rFonts w:hAnsi="Times New Roman" w:cs="Times New Roman"/>
        </w:rPr>
        <w:t>C</w:t>
      </w:r>
      <w:r w:rsidR="00F373C4" w:rsidRPr="00EE3D94">
        <w:rPr>
          <w:rFonts w:hAnsi="Times New Roman" w:cs="Times New Roman"/>
        </w:rPr>
        <w:t xml:space="preserve">ongreso </w:t>
      </w:r>
      <w:r w:rsidRPr="00EE3D94">
        <w:rPr>
          <w:rFonts w:hAnsi="Times New Roman" w:cs="Times New Roman"/>
        </w:rPr>
        <w:t>identifica la existencia de prácticas efectivas de transparencia en el trabajo legislativo como la</w:t>
      </w:r>
      <w:r w:rsidR="006D0707" w:rsidRPr="00EE3D94">
        <w:rPr>
          <w:rFonts w:hAnsi="Times New Roman" w:cs="Times New Roman"/>
        </w:rPr>
        <w:t xml:space="preserve"> publicidad y difusión de los debates, votaciones nominales, memorias legislativas, registros de asistencia a las sesiones del pleno y a las comisiones</w:t>
      </w:r>
      <w:r w:rsidR="00F373C4">
        <w:rPr>
          <w:rFonts w:hAnsi="Times New Roman" w:cs="Times New Roman"/>
        </w:rPr>
        <w:t>,</w:t>
      </w:r>
      <w:r w:rsidR="00F373C4" w:rsidRPr="00EE3D94">
        <w:rPr>
          <w:rFonts w:hAnsi="Times New Roman" w:cs="Times New Roman"/>
        </w:rPr>
        <w:t xml:space="preserve"> </w:t>
      </w:r>
      <w:r w:rsidR="006D0707" w:rsidRPr="00EE3D94">
        <w:rPr>
          <w:rFonts w:hAnsi="Times New Roman" w:cs="Times New Roman"/>
        </w:rPr>
        <w:t xml:space="preserve">la </w:t>
      </w:r>
      <w:r w:rsidR="006D0707" w:rsidRPr="00EE3D94">
        <w:rPr>
          <w:rFonts w:hAnsi="Times New Roman" w:cs="Times New Roman"/>
        </w:rPr>
        <w:lastRenderedPageBreak/>
        <w:t>agenda legislativa de los grupos parlamentarios y la publicidad de la contratación de asesores externos</w:t>
      </w:r>
      <w:r w:rsidR="00F373C4">
        <w:rPr>
          <w:rFonts w:hAnsi="Times New Roman" w:cs="Times New Roman"/>
        </w:rPr>
        <w:t>,</w:t>
      </w:r>
      <w:r w:rsidR="006D0707" w:rsidRPr="00EE3D94">
        <w:rPr>
          <w:rFonts w:hAnsi="Times New Roman" w:cs="Times New Roman"/>
        </w:rPr>
        <w:t xml:space="preserve"> </w:t>
      </w:r>
      <w:r w:rsidR="00B45245" w:rsidRPr="00EE3D94">
        <w:rPr>
          <w:rFonts w:hAnsi="Times New Roman" w:cs="Times New Roman"/>
        </w:rPr>
        <w:t xml:space="preserve">así como el registro de viajes y obsequios a los legisladores. </w:t>
      </w:r>
    </w:p>
    <w:p w14:paraId="1ABD50D0" w14:textId="57AD48CD" w:rsidR="00B9739B" w:rsidRPr="00EE3D94" w:rsidRDefault="00B45245" w:rsidP="006735A7">
      <w:pPr>
        <w:pStyle w:val="Cuerpo"/>
        <w:spacing w:before="120" w:after="120" w:line="360" w:lineRule="auto"/>
        <w:ind w:firstLine="708"/>
        <w:jc w:val="both"/>
        <w:rPr>
          <w:rFonts w:hAnsi="Times New Roman" w:cs="Times New Roman"/>
        </w:rPr>
      </w:pPr>
      <w:r w:rsidRPr="00EE3D94">
        <w:rPr>
          <w:rFonts w:hAnsi="Times New Roman" w:cs="Times New Roman"/>
        </w:rPr>
        <w:t>En el ámbito presupuestal y de gestión administrativa</w:t>
      </w:r>
      <w:r w:rsidR="00F373C4">
        <w:rPr>
          <w:rFonts w:hAnsi="Times New Roman" w:cs="Times New Roman"/>
        </w:rPr>
        <w:t>,</w:t>
      </w:r>
      <w:r w:rsidRPr="00EE3D94">
        <w:rPr>
          <w:rFonts w:hAnsi="Times New Roman" w:cs="Times New Roman"/>
        </w:rPr>
        <w:t xml:space="preserve"> se indaga sobre la transparencia en el uso de recursos asignados a la labor parlamentaria</w:t>
      </w:r>
      <w:r w:rsidR="00F373C4">
        <w:rPr>
          <w:rFonts w:hAnsi="Times New Roman" w:cs="Times New Roman"/>
        </w:rPr>
        <w:t>.</w:t>
      </w:r>
      <w:r w:rsidR="00F373C4" w:rsidRPr="00EE3D94">
        <w:rPr>
          <w:rFonts w:hAnsi="Times New Roman" w:cs="Times New Roman"/>
        </w:rPr>
        <w:t xml:space="preserve"> </w:t>
      </w:r>
      <w:r w:rsidR="00F373C4">
        <w:rPr>
          <w:rFonts w:hAnsi="Times New Roman" w:cs="Times New Roman"/>
        </w:rPr>
        <w:t>D</w:t>
      </w:r>
      <w:r w:rsidR="00F373C4" w:rsidRPr="00EE3D94">
        <w:rPr>
          <w:rFonts w:hAnsi="Times New Roman" w:cs="Times New Roman"/>
        </w:rPr>
        <w:t xml:space="preserve">entro </w:t>
      </w:r>
      <w:r w:rsidRPr="00EE3D94">
        <w:rPr>
          <w:rFonts w:hAnsi="Times New Roman" w:cs="Times New Roman"/>
        </w:rPr>
        <w:t>de esta dimensión, se ubican variables que consideran el cumplimiento de la publicidad del presupuesto y el gasto</w:t>
      </w:r>
      <w:r w:rsidR="00F373C4">
        <w:rPr>
          <w:rFonts w:hAnsi="Times New Roman" w:cs="Times New Roman"/>
        </w:rPr>
        <w:t>,</w:t>
      </w:r>
      <w:r w:rsidR="00F373C4" w:rsidRPr="00EE3D94">
        <w:rPr>
          <w:rFonts w:hAnsi="Times New Roman" w:cs="Times New Roman"/>
        </w:rPr>
        <w:t xml:space="preserve"> </w:t>
      </w:r>
      <w:r w:rsidRPr="00EE3D94">
        <w:rPr>
          <w:rFonts w:hAnsi="Times New Roman" w:cs="Times New Roman"/>
        </w:rPr>
        <w:t xml:space="preserve">la existencia de </w:t>
      </w:r>
      <w:r w:rsidR="00F373C4" w:rsidRPr="00EE3D94">
        <w:rPr>
          <w:rFonts w:hAnsi="Times New Roman" w:cs="Times New Roman"/>
        </w:rPr>
        <w:t>auditor</w:t>
      </w:r>
      <w:r w:rsidR="00F373C4">
        <w:rPr>
          <w:rFonts w:hAnsi="Times New Roman" w:cs="Times New Roman"/>
        </w:rPr>
        <w:t>í</w:t>
      </w:r>
      <w:r w:rsidR="00F373C4" w:rsidRPr="00EE3D94">
        <w:rPr>
          <w:rFonts w:hAnsi="Times New Roman" w:cs="Times New Roman"/>
        </w:rPr>
        <w:t xml:space="preserve">as </w:t>
      </w:r>
      <w:r w:rsidRPr="00EE3D94">
        <w:rPr>
          <w:rFonts w:hAnsi="Times New Roman" w:cs="Times New Roman"/>
        </w:rPr>
        <w:t>internas y externas</w:t>
      </w:r>
      <w:r w:rsidR="00F373C4">
        <w:rPr>
          <w:rFonts w:hAnsi="Times New Roman" w:cs="Times New Roman"/>
        </w:rPr>
        <w:t>,</w:t>
      </w:r>
      <w:r w:rsidR="00F373C4" w:rsidRPr="00EE3D94">
        <w:rPr>
          <w:rFonts w:hAnsi="Times New Roman" w:cs="Times New Roman"/>
        </w:rPr>
        <w:t xml:space="preserve"> </w:t>
      </w:r>
      <w:r w:rsidRPr="00EE3D94">
        <w:rPr>
          <w:rFonts w:hAnsi="Times New Roman" w:cs="Times New Roman"/>
        </w:rPr>
        <w:t xml:space="preserve">la facilidad de acceso a la información de los salarios y prestaciones de los legisladores y demás personal administrativo, la contratación pública del personal </w:t>
      </w:r>
      <w:r w:rsidR="00B9739B" w:rsidRPr="00EE3D94">
        <w:rPr>
          <w:rFonts w:hAnsi="Times New Roman" w:cs="Times New Roman"/>
        </w:rPr>
        <w:t>y los concursos meritorios de ingreso y ascenso.</w:t>
      </w:r>
    </w:p>
    <w:p w14:paraId="10F85C76" w14:textId="2DCEB598" w:rsidR="00B9739B" w:rsidRPr="00EE3D94" w:rsidRDefault="00B9739B" w:rsidP="006735A7">
      <w:pPr>
        <w:pStyle w:val="Cuerpo"/>
        <w:spacing w:before="120" w:after="120" w:line="360" w:lineRule="auto"/>
        <w:ind w:firstLine="708"/>
        <w:jc w:val="both"/>
        <w:rPr>
          <w:rFonts w:hAnsi="Times New Roman" w:cs="Times New Roman"/>
        </w:rPr>
      </w:pPr>
      <w:r w:rsidRPr="00EE3D94">
        <w:rPr>
          <w:rFonts w:hAnsi="Times New Roman" w:cs="Times New Roman"/>
        </w:rPr>
        <w:t>En la participación ciudadana se advierte la existencia de oficinas de atención ciudadana tanto nacionales como subnacionales, información personal pública de los legisladores</w:t>
      </w:r>
      <w:r w:rsidR="00F373C4">
        <w:rPr>
          <w:rFonts w:hAnsi="Times New Roman" w:cs="Times New Roman"/>
        </w:rPr>
        <w:t>,</w:t>
      </w:r>
      <w:r w:rsidRPr="00EE3D94">
        <w:rPr>
          <w:rFonts w:hAnsi="Times New Roman" w:cs="Times New Roman"/>
        </w:rPr>
        <w:t xml:space="preserve"> así como la existencia de canales públicos de televisión y foros de discusión abiertos, además del examen de las páginas web de los congresos y canales de comunicación entre los legisladores y los ciudadanos. </w:t>
      </w:r>
    </w:p>
    <w:p w14:paraId="08400AE9" w14:textId="3CEDA28A" w:rsidR="00B33FB6" w:rsidRPr="00EE3D94" w:rsidRDefault="00F373C4" w:rsidP="00AF4764">
      <w:pPr>
        <w:pStyle w:val="Cuerpo"/>
        <w:spacing w:before="120" w:after="120" w:line="360" w:lineRule="auto"/>
        <w:jc w:val="both"/>
        <w:rPr>
          <w:rFonts w:hAnsi="Times New Roman" w:cs="Times New Roman"/>
        </w:rPr>
      </w:pPr>
      <w:r>
        <w:rPr>
          <w:rFonts w:hAnsi="Times New Roman" w:cs="Times New Roman"/>
        </w:rPr>
        <w:tab/>
      </w:r>
      <w:r w:rsidR="00B33FB6" w:rsidRPr="00EE3D94">
        <w:rPr>
          <w:rFonts w:hAnsi="Times New Roman" w:cs="Times New Roman"/>
        </w:rPr>
        <w:t xml:space="preserve">En cada elemento se mide la existencia, pertinencia, publicidad de la norma e información de las actividades del Congreso, además del cumplimiento de las </w:t>
      </w:r>
      <w:r w:rsidR="00B9739B" w:rsidRPr="00EE3D94">
        <w:rPr>
          <w:rFonts w:hAnsi="Times New Roman" w:cs="Times New Roman"/>
        </w:rPr>
        <w:t>reglas</w:t>
      </w:r>
      <w:r w:rsidR="00B33FB6" w:rsidRPr="00EE3D94">
        <w:rPr>
          <w:rFonts w:hAnsi="Times New Roman" w:cs="Times New Roman"/>
        </w:rPr>
        <w:t xml:space="preserve"> existentes</w:t>
      </w:r>
      <w:r w:rsidR="00804A91">
        <w:rPr>
          <w:rFonts w:hAnsi="Times New Roman" w:cs="Times New Roman"/>
        </w:rPr>
        <w:t>,</w:t>
      </w:r>
      <w:r w:rsidR="00804A91" w:rsidRPr="00EE3D94">
        <w:rPr>
          <w:rFonts w:hAnsi="Times New Roman" w:cs="Times New Roman"/>
        </w:rPr>
        <w:t xml:space="preserve"> </w:t>
      </w:r>
      <w:r w:rsidR="00B33FB6" w:rsidRPr="00EE3D94">
        <w:rPr>
          <w:rFonts w:hAnsi="Times New Roman" w:cs="Times New Roman"/>
        </w:rPr>
        <w:t xml:space="preserve">políticas proactivas que favorecen la transparencia y la rendición de cuentas. </w:t>
      </w:r>
      <w:r w:rsidR="00804A91" w:rsidRPr="00EE3D94">
        <w:rPr>
          <w:rFonts w:hAnsi="Times New Roman" w:cs="Times New Roman"/>
        </w:rPr>
        <w:t>As</w:t>
      </w:r>
      <w:r w:rsidR="00804A91">
        <w:rPr>
          <w:rFonts w:hAnsi="Times New Roman" w:cs="Times New Roman"/>
        </w:rPr>
        <w:t>i</w:t>
      </w:r>
      <w:r w:rsidR="008C12A8" w:rsidRPr="00EE3D94">
        <w:rPr>
          <w:rFonts w:hAnsi="Times New Roman" w:cs="Times New Roman"/>
        </w:rPr>
        <w:t>mismo</w:t>
      </w:r>
      <w:r w:rsidR="00804A91">
        <w:rPr>
          <w:rFonts w:hAnsi="Times New Roman" w:cs="Times New Roman"/>
        </w:rPr>
        <w:t>,</w:t>
      </w:r>
      <w:r w:rsidR="008C12A8" w:rsidRPr="00EE3D94">
        <w:rPr>
          <w:rFonts w:hAnsi="Times New Roman" w:cs="Times New Roman"/>
        </w:rPr>
        <w:t xml:space="preserve"> e</w:t>
      </w:r>
      <w:r w:rsidR="00B33FB6" w:rsidRPr="00EE3D94">
        <w:rPr>
          <w:rFonts w:hAnsi="Times New Roman" w:cs="Times New Roman"/>
        </w:rPr>
        <w:t xml:space="preserve">l monitoreo incluye la gestión, administración y desarrollo de las políticas públicas que </w:t>
      </w:r>
      <w:r w:rsidR="008C12A8" w:rsidRPr="00EE3D94">
        <w:rPr>
          <w:rFonts w:hAnsi="Times New Roman" w:cs="Times New Roman"/>
        </w:rPr>
        <w:t>tiendan hacia la apertura y acceso a la información.</w:t>
      </w:r>
    </w:p>
    <w:p w14:paraId="06A18833" w14:textId="3201694A" w:rsidR="00954FFF" w:rsidRPr="00EE3D94" w:rsidRDefault="00AF4764" w:rsidP="006735A7">
      <w:pPr>
        <w:pStyle w:val="Cuerpo"/>
        <w:spacing w:before="120" w:after="120" w:line="360" w:lineRule="auto"/>
        <w:ind w:firstLine="708"/>
        <w:jc w:val="both"/>
        <w:rPr>
          <w:rFonts w:hAnsi="Times New Roman" w:cs="Times New Roman"/>
        </w:rPr>
      </w:pPr>
      <w:r w:rsidRPr="00EE3D94">
        <w:rPr>
          <w:rFonts w:hAnsi="Times New Roman" w:cs="Times New Roman"/>
        </w:rPr>
        <w:t>En términos generales</w:t>
      </w:r>
      <w:r w:rsidR="00804A91">
        <w:rPr>
          <w:rFonts w:hAnsi="Times New Roman" w:cs="Times New Roman"/>
        </w:rPr>
        <w:t>,</w:t>
      </w:r>
      <w:r w:rsidR="00B9739B" w:rsidRPr="00EE3D94">
        <w:rPr>
          <w:rFonts w:hAnsi="Times New Roman" w:cs="Times New Roman"/>
        </w:rPr>
        <w:t xml:space="preserve"> y de acuerdo con los datos arrojados por</w:t>
      </w:r>
      <w:r w:rsidR="00E94D1F" w:rsidRPr="00EE3D94">
        <w:rPr>
          <w:rFonts w:hAnsi="Times New Roman" w:cs="Times New Roman"/>
        </w:rPr>
        <w:t xml:space="preserve"> </w:t>
      </w:r>
      <w:r w:rsidR="007040A0" w:rsidRPr="00EE3D94">
        <w:rPr>
          <w:rFonts w:hAnsi="Times New Roman" w:cs="Times New Roman"/>
        </w:rPr>
        <w:t>e</w:t>
      </w:r>
      <w:r w:rsidR="00E94D1F" w:rsidRPr="00EE3D94">
        <w:rPr>
          <w:rFonts w:hAnsi="Times New Roman" w:cs="Times New Roman"/>
        </w:rPr>
        <w:t>l monitoreo</w:t>
      </w:r>
      <w:r w:rsidR="000332B6" w:rsidRPr="00EE3D94">
        <w:rPr>
          <w:rFonts w:hAnsi="Times New Roman" w:cs="Times New Roman"/>
        </w:rPr>
        <w:t xml:space="preserve">, la región </w:t>
      </w:r>
      <w:r w:rsidR="003F52DA" w:rsidRPr="00EE3D94">
        <w:rPr>
          <w:rFonts w:hAnsi="Times New Roman" w:cs="Times New Roman"/>
        </w:rPr>
        <w:t>s</w:t>
      </w:r>
      <w:r w:rsidR="000332B6" w:rsidRPr="00EE3D94">
        <w:rPr>
          <w:rFonts w:hAnsi="Times New Roman" w:cs="Times New Roman"/>
        </w:rPr>
        <w:t>e caracteriza por sus bajos niveles de transparencia</w:t>
      </w:r>
      <w:r w:rsidR="00804A91">
        <w:rPr>
          <w:rFonts w:hAnsi="Times New Roman" w:cs="Times New Roman"/>
        </w:rPr>
        <w:t>.</w:t>
      </w:r>
      <w:r w:rsidR="00804A91" w:rsidRPr="00EE3D94">
        <w:rPr>
          <w:rFonts w:hAnsi="Times New Roman" w:cs="Times New Roman"/>
        </w:rPr>
        <w:t xml:space="preserve"> </w:t>
      </w:r>
      <w:r w:rsidR="00804A91">
        <w:rPr>
          <w:rFonts w:hAnsi="Times New Roman" w:cs="Times New Roman"/>
        </w:rPr>
        <w:t>E</w:t>
      </w:r>
      <w:r w:rsidR="00804A91" w:rsidRPr="00EE3D94">
        <w:rPr>
          <w:rFonts w:hAnsi="Times New Roman" w:cs="Times New Roman"/>
        </w:rPr>
        <w:t xml:space="preserve">n </w:t>
      </w:r>
      <w:r w:rsidR="00954FFF" w:rsidRPr="00EE3D94">
        <w:rPr>
          <w:rFonts w:hAnsi="Times New Roman" w:cs="Times New Roman"/>
        </w:rPr>
        <w:t>promedio</w:t>
      </w:r>
      <w:r w:rsidR="00804A91">
        <w:rPr>
          <w:rFonts w:hAnsi="Times New Roman" w:cs="Times New Roman"/>
        </w:rPr>
        <w:t>,</w:t>
      </w:r>
      <w:r w:rsidR="00954FFF" w:rsidRPr="00EE3D94">
        <w:rPr>
          <w:rFonts w:hAnsi="Times New Roman" w:cs="Times New Roman"/>
        </w:rPr>
        <w:t xml:space="preserve"> </w:t>
      </w:r>
      <w:r w:rsidR="008A6B9F" w:rsidRPr="00EE3D94">
        <w:rPr>
          <w:rFonts w:hAnsi="Times New Roman" w:cs="Times New Roman"/>
        </w:rPr>
        <w:t xml:space="preserve">la </w:t>
      </w:r>
      <w:r w:rsidR="00954FFF" w:rsidRPr="00EE3D94">
        <w:rPr>
          <w:rFonts w:hAnsi="Times New Roman" w:cs="Times New Roman"/>
        </w:rPr>
        <w:t xml:space="preserve">zona obtuvo una calificación de .44 en la </w:t>
      </w:r>
      <w:r w:rsidR="008A6B9F" w:rsidRPr="00EE3D94">
        <w:rPr>
          <w:rFonts w:hAnsi="Times New Roman" w:cs="Times New Roman"/>
        </w:rPr>
        <w:t xml:space="preserve">evaluación de 2014 </w:t>
      </w:r>
      <w:r w:rsidR="008A48F7" w:rsidRPr="00EE3D94">
        <w:rPr>
          <w:rFonts w:hAnsi="Times New Roman" w:cs="Times New Roman"/>
        </w:rPr>
        <w:t>de un total de 1</w:t>
      </w:r>
      <w:r w:rsidR="000332B6" w:rsidRPr="00EE3D94">
        <w:rPr>
          <w:rFonts w:hAnsi="Times New Roman" w:cs="Times New Roman"/>
        </w:rPr>
        <w:t xml:space="preserve">, </w:t>
      </w:r>
      <w:r w:rsidR="00954FFF" w:rsidRPr="00EE3D94">
        <w:rPr>
          <w:rFonts w:hAnsi="Times New Roman" w:cs="Times New Roman"/>
        </w:rPr>
        <w:t xml:space="preserve">mientras que para 2016, el puntaje se </w:t>
      </w:r>
      <w:r w:rsidR="00804A91" w:rsidRPr="00EE3D94">
        <w:rPr>
          <w:rFonts w:hAnsi="Times New Roman" w:cs="Times New Roman"/>
        </w:rPr>
        <w:t>increment</w:t>
      </w:r>
      <w:r w:rsidR="00804A91">
        <w:rPr>
          <w:rFonts w:hAnsi="Times New Roman" w:cs="Times New Roman"/>
        </w:rPr>
        <w:t>ó</w:t>
      </w:r>
      <w:r w:rsidR="00804A91" w:rsidRPr="00EE3D94">
        <w:rPr>
          <w:rFonts w:hAnsi="Times New Roman" w:cs="Times New Roman"/>
        </w:rPr>
        <w:t xml:space="preserve"> </w:t>
      </w:r>
      <w:r w:rsidR="00954FFF" w:rsidRPr="00EE3D94">
        <w:rPr>
          <w:rFonts w:hAnsi="Times New Roman" w:cs="Times New Roman"/>
        </w:rPr>
        <w:t>ligeramente a .51</w:t>
      </w:r>
      <w:r w:rsidR="00804A91">
        <w:rPr>
          <w:rFonts w:hAnsi="Times New Roman" w:cs="Times New Roman"/>
        </w:rPr>
        <w:t>.</w:t>
      </w:r>
      <w:r w:rsidR="00804A91" w:rsidRPr="00EE3D94">
        <w:rPr>
          <w:rFonts w:hAnsi="Times New Roman" w:cs="Times New Roman"/>
        </w:rPr>
        <w:t xml:space="preserve"> </w:t>
      </w:r>
      <w:r w:rsidR="00804A91">
        <w:rPr>
          <w:rFonts w:hAnsi="Times New Roman" w:cs="Times New Roman"/>
        </w:rPr>
        <w:t>L</w:t>
      </w:r>
      <w:r w:rsidR="00954FFF" w:rsidRPr="00EE3D94">
        <w:rPr>
          <w:rFonts w:hAnsi="Times New Roman" w:cs="Times New Roman"/>
        </w:rPr>
        <w:t xml:space="preserve">os avances han sido limitados y con tendencia </w:t>
      </w:r>
      <w:r w:rsidR="00BD3012" w:rsidRPr="00EE3D94">
        <w:rPr>
          <w:rFonts w:hAnsi="Times New Roman" w:cs="Times New Roman"/>
        </w:rPr>
        <w:t>al estancamiento</w:t>
      </w:r>
      <w:r w:rsidR="00954FFF" w:rsidRPr="00EE3D94">
        <w:rPr>
          <w:rFonts w:hAnsi="Times New Roman" w:cs="Times New Roman"/>
        </w:rPr>
        <w:t xml:space="preserve"> </w:t>
      </w:r>
      <w:r w:rsidR="00BD3012" w:rsidRPr="00EE3D94">
        <w:rPr>
          <w:rFonts w:hAnsi="Times New Roman" w:cs="Times New Roman"/>
        </w:rPr>
        <w:t xml:space="preserve">(ver gráfica 2). </w:t>
      </w:r>
    </w:p>
    <w:p w14:paraId="0B4FEBD5" w14:textId="6DB3440E" w:rsidR="00C116EE" w:rsidRPr="00EE3D94" w:rsidRDefault="00B16A4C"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Como se observa en la gráfica </w:t>
      </w:r>
      <w:r w:rsidR="00804A91">
        <w:rPr>
          <w:rFonts w:hAnsi="Times New Roman" w:cs="Times New Roman"/>
        </w:rPr>
        <w:t>2</w:t>
      </w:r>
      <w:r w:rsidRPr="00EE3D94">
        <w:rPr>
          <w:rFonts w:hAnsi="Times New Roman" w:cs="Times New Roman"/>
        </w:rPr>
        <w:t xml:space="preserve">, el resultado que </w:t>
      </w:r>
      <w:r w:rsidR="00804A91" w:rsidRPr="00EE3D94">
        <w:rPr>
          <w:rFonts w:hAnsi="Times New Roman" w:cs="Times New Roman"/>
        </w:rPr>
        <w:t>arroj</w:t>
      </w:r>
      <w:r w:rsidR="00804A91">
        <w:rPr>
          <w:rFonts w:hAnsi="Times New Roman" w:cs="Times New Roman"/>
        </w:rPr>
        <w:t>ó</w:t>
      </w:r>
      <w:r w:rsidR="00804A91" w:rsidRPr="00EE3D94">
        <w:rPr>
          <w:rFonts w:hAnsi="Times New Roman" w:cs="Times New Roman"/>
        </w:rPr>
        <w:t xml:space="preserve"> </w:t>
      </w:r>
      <w:r w:rsidRPr="00EE3D94">
        <w:rPr>
          <w:rFonts w:hAnsi="Times New Roman" w:cs="Times New Roman"/>
        </w:rPr>
        <w:t>el índice en la evaluación de 2014 y 2016 advierte una mejora en todos los países de la región, salvo Venezuela</w:t>
      </w:r>
      <w:r w:rsidR="00804A91">
        <w:rPr>
          <w:rFonts w:hAnsi="Times New Roman" w:cs="Times New Roman"/>
        </w:rPr>
        <w:t>,</w:t>
      </w:r>
      <w:r w:rsidRPr="00EE3D94">
        <w:rPr>
          <w:rFonts w:hAnsi="Times New Roman" w:cs="Times New Roman"/>
        </w:rPr>
        <w:t xml:space="preserve"> que se mantiene en último lugar y sin modificación en el índice</w:t>
      </w:r>
      <w:r w:rsidR="00C116EE" w:rsidRPr="00EE3D94">
        <w:rPr>
          <w:rFonts w:hAnsi="Times New Roman" w:cs="Times New Roman"/>
        </w:rPr>
        <w:t xml:space="preserve">. También llama la atención Perú con un ligero descenso de medio punto con respecto a 2014. </w:t>
      </w:r>
      <w:r w:rsidR="00804A91">
        <w:rPr>
          <w:rFonts w:hAnsi="Times New Roman" w:cs="Times New Roman"/>
        </w:rPr>
        <w:t>El c</w:t>
      </w:r>
      <w:r w:rsidR="00804A91" w:rsidRPr="00EE3D94">
        <w:rPr>
          <w:rFonts w:hAnsi="Times New Roman" w:cs="Times New Roman"/>
        </w:rPr>
        <w:t xml:space="preserve">aso </w:t>
      </w:r>
      <w:r w:rsidR="00C116EE" w:rsidRPr="00EE3D94">
        <w:rPr>
          <w:rFonts w:hAnsi="Times New Roman" w:cs="Times New Roman"/>
        </w:rPr>
        <w:t xml:space="preserve">contrario es </w:t>
      </w:r>
      <w:r w:rsidR="00C116EE" w:rsidRPr="00EE3D94">
        <w:rPr>
          <w:rFonts w:hAnsi="Times New Roman" w:cs="Times New Roman"/>
        </w:rPr>
        <w:lastRenderedPageBreak/>
        <w:t>Bolivia</w:t>
      </w:r>
      <w:r w:rsidR="00804A91">
        <w:rPr>
          <w:rFonts w:hAnsi="Times New Roman" w:cs="Times New Roman"/>
        </w:rPr>
        <w:t>,</w:t>
      </w:r>
      <w:r w:rsidR="00C116EE" w:rsidRPr="00EE3D94">
        <w:rPr>
          <w:rFonts w:hAnsi="Times New Roman" w:cs="Times New Roman"/>
        </w:rPr>
        <w:t xml:space="preserve"> con un avance notable en el índice al doblar el puntaje obtenido en 2014</w:t>
      </w:r>
      <w:r w:rsidR="00804A91">
        <w:rPr>
          <w:rFonts w:hAnsi="Times New Roman" w:cs="Times New Roman"/>
        </w:rPr>
        <w:t>;</w:t>
      </w:r>
      <w:r w:rsidR="00804A91" w:rsidRPr="00EE3D94">
        <w:rPr>
          <w:rFonts w:hAnsi="Times New Roman" w:cs="Times New Roman"/>
        </w:rPr>
        <w:t xml:space="preserve"> </w:t>
      </w:r>
      <w:r w:rsidR="00C116EE" w:rsidRPr="00EE3D94">
        <w:rPr>
          <w:rFonts w:hAnsi="Times New Roman" w:cs="Times New Roman"/>
        </w:rPr>
        <w:t>en el mismo sentido</w:t>
      </w:r>
      <w:r w:rsidR="00804A91">
        <w:rPr>
          <w:rFonts w:hAnsi="Times New Roman" w:cs="Times New Roman"/>
        </w:rPr>
        <w:t>,</w:t>
      </w:r>
      <w:r w:rsidR="00C116EE" w:rsidRPr="00EE3D94">
        <w:rPr>
          <w:rFonts w:hAnsi="Times New Roman" w:cs="Times New Roman"/>
        </w:rPr>
        <w:t xml:space="preserve"> se observa el caso de Guatemala, Colombia y México.</w:t>
      </w:r>
    </w:p>
    <w:p w14:paraId="6678C5F4" w14:textId="6013F188" w:rsidR="00C116EE" w:rsidRPr="00EE3D94" w:rsidRDefault="00C116EE"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Con la integración de cuatro países al convenio de evaluación, se puede observar que Costa Rica sobresale con un puntaje muy elevado por encima de la media, colocando al país como la nación latinoamericana con el </w:t>
      </w:r>
      <w:r w:rsidR="00804A91">
        <w:rPr>
          <w:rFonts w:hAnsi="Times New Roman" w:cs="Times New Roman"/>
        </w:rPr>
        <w:t>c</w:t>
      </w:r>
      <w:r w:rsidR="00804A91" w:rsidRPr="00EE3D94">
        <w:rPr>
          <w:rFonts w:hAnsi="Times New Roman" w:cs="Times New Roman"/>
        </w:rPr>
        <w:t xml:space="preserve">ongreso </w:t>
      </w:r>
      <w:r w:rsidRPr="00EE3D94">
        <w:rPr>
          <w:rFonts w:hAnsi="Times New Roman" w:cs="Times New Roman"/>
        </w:rPr>
        <w:t xml:space="preserve">más transparente, seguido de Chile y Paraguay (país de reciente ingreso), </w:t>
      </w:r>
      <w:r w:rsidR="00804A91">
        <w:rPr>
          <w:rFonts w:hAnsi="Times New Roman" w:cs="Times New Roman"/>
        </w:rPr>
        <w:t>que</w:t>
      </w:r>
      <w:r w:rsidR="00804A91" w:rsidRPr="00EE3D94">
        <w:rPr>
          <w:rFonts w:hAnsi="Times New Roman" w:cs="Times New Roman"/>
        </w:rPr>
        <w:t xml:space="preserve"> </w:t>
      </w:r>
      <w:r w:rsidRPr="00EE3D94">
        <w:rPr>
          <w:rFonts w:hAnsi="Times New Roman" w:cs="Times New Roman"/>
        </w:rPr>
        <w:t xml:space="preserve">arrojan datos positivos para la transparencia. </w:t>
      </w:r>
    </w:p>
    <w:p w14:paraId="447D626E" w14:textId="5AE2904A" w:rsidR="00BD3012" w:rsidRDefault="00C116EE" w:rsidP="006735A7">
      <w:pPr>
        <w:pStyle w:val="Cuerpo"/>
        <w:spacing w:before="120" w:after="120" w:line="360" w:lineRule="auto"/>
        <w:ind w:firstLine="708"/>
        <w:jc w:val="both"/>
        <w:rPr>
          <w:rFonts w:hAnsi="Times New Roman" w:cs="Times New Roman"/>
        </w:rPr>
      </w:pPr>
      <w:r w:rsidRPr="00EE3D94">
        <w:rPr>
          <w:rFonts w:hAnsi="Times New Roman" w:cs="Times New Roman"/>
        </w:rPr>
        <w:t>Si bien es cierto</w:t>
      </w:r>
      <w:r w:rsidR="00804A91">
        <w:rPr>
          <w:rFonts w:hAnsi="Times New Roman" w:cs="Times New Roman"/>
        </w:rPr>
        <w:t xml:space="preserve"> que</w:t>
      </w:r>
      <w:r w:rsidR="00804A91" w:rsidRPr="00EE3D94">
        <w:rPr>
          <w:rFonts w:hAnsi="Times New Roman" w:cs="Times New Roman"/>
        </w:rPr>
        <w:t xml:space="preserve"> </w:t>
      </w:r>
      <w:r w:rsidRPr="00EE3D94">
        <w:rPr>
          <w:rFonts w:hAnsi="Times New Roman" w:cs="Times New Roman"/>
        </w:rPr>
        <w:t>el índice muestra avances, estos no son homogéneos ni elevados</w:t>
      </w:r>
      <w:r w:rsidR="00804A91">
        <w:rPr>
          <w:rFonts w:hAnsi="Times New Roman" w:cs="Times New Roman"/>
        </w:rPr>
        <w:t>;</w:t>
      </w:r>
      <w:r w:rsidR="00804A91" w:rsidRPr="00EE3D94">
        <w:rPr>
          <w:rFonts w:hAnsi="Times New Roman" w:cs="Times New Roman"/>
        </w:rPr>
        <w:t xml:space="preserve"> </w:t>
      </w:r>
      <w:r w:rsidRPr="00EE3D94">
        <w:rPr>
          <w:rFonts w:hAnsi="Times New Roman" w:cs="Times New Roman"/>
        </w:rPr>
        <w:t xml:space="preserve">las mejoras en la mayoría de los países son más bien limitados y </w:t>
      </w:r>
      <w:r w:rsidR="002B5908" w:rsidRPr="00EE3D94">
        <w:rPr>
          <w:rFonts w:hAnsi="Times New Roman" w:cs="Times New Roman"/>
        </w:rPr>
        <w:t xml:space="preserve">poco consistentes. </w:t>
      </w:r>
      <w:r w:rsidR="00804A91">
        <w:rPr>
          <w:rFonts w:hAnsi="Times New Roman" w:cs="Times New Roman"/>
        </w:rPr>
        <w:t>Se puede</w:t>
      </w:r>
      <w:r w:rsidR="00804A91" w:rsidRPr="00EE3D94">
        <w:rPr>
          <w:rFonts w:hAnsi="Times New Roman" w:cs="Times New Roman"/>
        </w:rPr>
        <w:t xml:space="preserve"> </w:t>
      </w:r>
      <w:r w:rsidR="00BD3012" w:rsidRPr="00EE3D94">
        <w:rPr>
          <w:rFonts w:hAnsi="Times New Roman" w:cs="Times New Roman"/>
        </w:rPr>
        <w:t>decir</w:t>
      </w:r>
      <w:r w:rsidR="00804A91">
        <w:rPr>
          <w:rFonts w:hAnsi="Times New Roman" w:cs="Times New Roman"/>
        </w:rPr>
        <w:t>,</w:t>
      </w:r>
      <w:r w:rsidR="00BD3012" w:rsidRPr="00EE3D94">
        <w:rPr>
          <w:rFonts w:hAnsi="Times New Roman" w:cs="Times New Roman"/>
        </w:rPr>
        <w:t xml:space="preserve"> con base en los datos</w:t>
      </w:r>
      <w:r w:rsidR="00804A91">
        <w:rPr>
          <w:rFonts w:hAnsi="Times New Roman" w:cs="Times New Roman"/>
        </w:rPr>
        <w:t>,</w:t>
      </w:r>
      <w:r w:rsidR="00BD3012" w:rsidRPr="00EE3D94">
        <w:rPr>
          <w:rFonts w:hAnsi="Times New Roman" w:cs="Times New Roman"/>
        </w:rPr>
        <w:t xml:space="preserve"> que la mayoría de </w:t>
      </w:r>
      <w:r w:rsidR="00804A91">
        <w:rPr>
          <w:rFonts w:hAnsi="Times New Roman" w:cs="Times New Roman"/>
        </w:rPr>
        <w:t xml:space="preserve">los </w:t>
      </w:r>
      <w:r w:rsidR="00BD3012" w:rsidRPr="00EE3D94">
        <w:rPr>
          <w:rFonts w:hAnsi="Times New Roman" w:cs="Times New Roman"/>
        </w:rPr>
        <w:t>países evaluados en la región tienden a la opacidad, desvinculación ciudadana, así como a la ausencia en la transparencia de la labor y el ejercicio presupuestal de los Congresos.</w:t>
      </w:r>
    </w:p>
    <w:p w14:paraId="2E30E6B2" w14:textId="71C0F055" w:rsidR="00804A91" w:rsidRPr="006735A7" w:rsidRDefault="00804A91" w:rsidP="003267AC">
      <w:pPr>
        <w:pStyle w:val="Cuerpo"/>
        <w:spacing w:before="120" w:after="120" w:line="360" w:lineRule="auto"/>
        <w:jc w:val="center"/>
        <w:rPr>
          <w:rFonts w:hAnsi="Times New Roman" w:cs="Times New Roman"/>
          <w:b/>
        </w:rPr>
      </w:pPr>
      <w:r>
        <w:rPr>
          <w:rFonts w:hAnsi="Times New Roman" w:cs="Times New Roman"/>
          <w:b/>
        </w:rPr>
        <w:t>Gráfica 2</w:t>
      </w:r>
      <w:r w:rsidR="003267AC">
        <w:rPr>
          <w:rFonts w:hAnsi="Times New Roman" w:cs="Times New Roman"/>
          <w:b/>
        </w:rPr>
        <w:t xml:space="preserve">. </w:t>
      </w:r>
      <w:r w:rsidRPr="003267AC">
        <w:rPr>
          <w:rFonts w:hAnsi="Times New Roman" w:cs="Times New Roman"/>
        </w:rPr>
        <w:t>Índice de transparencia legislativa (2014-2016)</w:t>
      </w:r>
    </w:p>
    <w:p w14:paraId="2EC2B07A" w14:textId="3DCB16A6" w:rsidR="00BD3012" w:rsidRPr="00EE3D94" w:rsidRDefault="00CE45C8" w:rsidP="00AF4764">
      <w:pPr>
        <w:pStyle w:val="Cuerpo"/>
        <w:spacing w:before="120" w:after="120" w:line="360" w:lineRule="auto"/>
        <w:jc w:val="both"/>
        <w:rPr>
          <w:rFonts w:hAnsi="Times New Roman" w:cs="Times New Roman"/>
        </w:rPr>
      </w:pPr>
      <w:r w:rsidRPr="00EE3D94">
        <w:rPr>
          <w:rFonts w:hAnsi="Times New Roman" w:cs="Times New Roman"/>
          <w:noProof/>
          <w:sz w:val="20"/>
          <w:szCs w:val="20"/>
          <w:lang w:val="es-ES" w:eastAsia="es-ES"/>
        </w:rPr>
        <w:drawing>
          <wp:inline distT="0" distB="0" distL="0" distR="0" wp14:anchorId="3330BE4A" wp14:editId="7AD4D6C3">
            <wp:extent cx="5486400" cy="3659928"/>
            <wp:effectExtent l="0" t="0" r="25400" b="2349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1C80DF" w14:textId="112F2510" w:rsidR="00375237" w:rsidRPr="00EE3D94" w:rsidRDefault="00804A91" w:rsidP="006735A7">
      <w:pPr>
        <w:pStyle w:val="Cuerpo"/>
        <w:spacing w:before="120" w:after="120"/>
        <w:jc w:val="center"/>
        <w:rPr>
          <w:rFonts w:hAnsi="Times New Roman" w:cs="Times New Roman"/>
          <w:sz w:val="20"/>
          <w:szCs w:val="20"/>
        </w:rPr>
      </w:pPr>
      <w:r w:rsidRPr="006735A7">
        <w:rPr>
          <w:rFonts w:hAnsi="Times New Roman" w:cs="Times New Roman"/>
          <w:szCs w:val="20"/>
        </w:rPr>
        <w:t xml:space="preserve">Fuente: </w:t>
      </w:r>
      <w:r w:rsidR="00375237" w:rsidRPr="006735A7">
        <w:rPr>
          <w:rFonts w:hAnsi="Times New Roman" w:cs="Times New Roman"/>
          <w:szCs w:val="20"/>
        </w:rPr>
        <w:t xml:space="preserve">Elaboración propia con base en </w:t>
      </w:r>
      <w:r w:rsidR="00A75213" w:rsidRPr="006735A7">
        <w:rPr>
          <w:rFonts w:hAnsi="Times New Roman" w:cs="Times New Roman"/>
          <w:szCs w:val="20"/>
        </w:rPr>
        <w:t>los i</w:t>
      </w:r>
      <w:r w:rsidR="00375237" w:rsidRPr="006735A7">
        <w:rPr>
          <w:rFonts w:hAnsi="Times New Roman" w:cs="Times New Roman"/>
          <w:szCs w:val="20"/>
        </w:rPr>
        <w:t>nforme</w:t>
      </w:r>
      <w:r w:rsidR="00A75213" w:rsidRPr="006735A7">
        <w:rPr>
          <w:rFonts w:hAnsi="Times New Roman" w:cs="Times New Roman"/>
          <w:szCs w:val="20"/>
        </w:rPr>
        <w:t>s</w:t>
      </w:r>
      <w:r w:rsidR="00375237" w:rsidRPr="006735A7">
        <w:rPr>
          <w:rFonts w:hAnsi="Times New Roman" w:cs="Times New Roman"/>
          <w:szCs w:val="20"/>
        </w:rPr>
        <w:t xml:space="preserve"> de la </w:t>
      </w:r>
      <w:r w:rsidR="0067016D">
        <w:rPr>
          <w:rFonts w:hAnsi="Times New Roman" w:cs="Times New Roman"/>
          <w:szCs w:val="20"/>
        </w:rPr>
        <w:t>RLTL</w:t>
      </w:r>
      <w:r w:rsidR="00375237" w:rsidRPr="006735A7">
        <w:rPr>
          <w:rFonts w:hAnsi="Times New Roman" w:cs="Times New Roman"/>
          <w:szCs w:val="20"/>
        </w:rPr>
        <w:t>, 2014 y 2016</w:t>
      </w:r>
    </w:p>
    <w:p w14:paraId="3FB7BCC6" w14:textId="77777777" w:rsidR="00375237" w:rsidRPr="00EE3D94" w:rsidRDefault="00375237" w:rsidP="00AF4764">
      <w:pPr>
        <w:pStyle w:val="Cuerpo"/>
        <w:spacing w:before="120" w:after="120" w:line="360" w:lineRule="auto"/>
        <w:jc w:val="both"/>
        <w:rPr>
          <w:rFonts w:hAnsi="Times New Roman" w:cs="Times New Roman"/>
        </w:rPr>
      </w:pPr>
    </w:p>
    <w:p w14:paraId="10338998" w14:textId="11D0EC69" w:rsidR="00954FFF" w:rsidRPr="00EE3D94" w:rsidRDefault="00BD3012" w:rsidP="006735A7">
      <w:pPr>
        <w:pStyle w:val="Cuerpo"/>
        <w:spacing w:before="120" w:after="120" w:line="360" w:lineRule="auto"/>
        <w:ind w:firstLine="708"/>
        <w:jc w:val="both"/>
        <w:rPr>
          <w:rFonts w:hAnsi="Times New Roman" w:cs="Times New Roman"/>
        </w:rPr>
      </w:pPr>
      <w:r w:rsidRPr="00EE3D94">
        <w:rPr>
          <w:rFonts w:hAnsi="Times New Roman" w:cs="Times New Roman"/>
        </w:rPr>
        <w:lastRenderedPageBreak/>
        <w:t>El déficit de transparencia es producto, según el informe, de la ausencia, ambigüedad o discrecionalidad de la normativa en función de diversos elementos como la existencia de leyes o reglamentos referentes a la transparencia, participación ciudadana, rendición de cuentas, control del cabildeo, declaraciones patrimoniales, informes del ejercicio presupuestal legislativo y normativa sobre la publicidad del trabajo legislativo.</w:t>
      </w:r>
      <w:r w:rsidR="008A48F7" w:rsidRPr="00EE3D94">
        <w:rPr>
          <w:rFonts w:hAnsi="Times New Roman" w:cs="Times New Roman"/>
        </w:rPr>
        <w:t xml:space="preserve"> </w:t>
      </w:r>
      <w:r w:rsidR="00954FFF" w:rsidRPr="00EE3D94">
        <w:rPr>
          <w:rFonts w:hAnsi="Times New Roman" w:cs="Times New Roman"/>
        </w:rPr>
        <w:t>Esto</w:t>
      </w:r>
      <w:r w:rsidR="00804A91">
        <w:rPr>
          <w:rFonts w:hAnsi="Times New Roman" w:cs="Times New Roman"/>
        </w:rPr>
        <w:t>,</w:t>
      </w:r>
      <w:r w:rsidR="00954FFF" w:rsidRPr="00EE3D94">
        <w:rPr>
          <w:rFonts w:hAnsi="Times New Roman" w:cs="Times New Roman"/>
        </w:rPr>
        <w:t xml:space="preserve"> en parte</w:t>
      </w:r>
      <w:r w:rsidR="00804A91">
        <w:rPr>
          <w:rFonts w:hAnsi="Times New Roman" w:cs="Times New Roman"/>
        </w:rPr>
        <w:t>,</w:t>
      </w:r>
      <w:r w:rsidR="00954FFF" w:rsidRPr="00EE3D94">
        <w:rPr>
          <w:rFonts w:hAnsi="Times New Roman" w:cs="Times New Roman"/>
        </w:rPr>
        <w:t xml:space="preserve"> se puede explicar por las diferencias de estructuras normativas, tecnológicas, de gestión y de inclusión ciudadana con la que cuenta cada país evaluado. </w:t>
      </w:r>
    </w:p>
    <w:p w14:paraId="3709F0FE" w14:textId="076DF920" w:rsidR="00954FFF" w:rsidRPr="00EE3D94" w:rsidRDefault="00954FFF" w:rsidP="006735A7">
      <w:pPr>
        <w:pStyle w:val="Cuerpo"/>
        <w:spacing w:before="120" w:after="120" w:line="360" w:lineRule="auto"/>
        <w:ind w:firstLine="708"/>
        <w:jc w:val="both"/>
        <w:rPr>
          <w:rFonts w:hAnsi="Times New Roman" w:cs="Times New Roman"/>
        </w:rPr>
      </w:pPr>
      <w:r w:rsidRPr="00EE3D94">
        <w:rPr>
          <w:rFonts w:hAnsi="Times New Roman" w:cs="Times New Roman"/>
        </w:rPr>
        <w:t>Por ejemplo, en Chile</w:t>
      </w:r>
      <w:r w:rsidR="00804A91">
        <w:rPr>
          <w:rFonts w:hAnsi="Times New Roman" w:cs="Times New Roman"/>
        </w:rPr>
        <w:t>,</w:t>
      </w:r>
      <w:r w:rsidRPr="00EE3D94">
        <w:rPr>
          <w:rFonts w:hAnsi="Times New Roman" w:cs="Times New Roman"/>
        </w:rPr>
        <w:t xml:space="preserve"> los legisladores rinden cuentas sobre los recursos utilizados; además de tener una auditoría parlamentaria, encargada de controlar los fondos públicos para la función legislativa, cuenta con un Consejo Resolutivo de Asignaciones Parlamentarias, integrado por exfuncionarios, académicos y especialistas en manejo presupuestal. Adicionalmente, los asambleístas deben presentar su declaración de intereses jurada de patrimonio para la consulta pública. En contraste, Perú cuenta con una Comisión de Ética Parlamentaria, que previene, investiga y sanciona a los congresistas infractores</w:t>
      </w:r>
      <w:r w:rsidR="00804A91">
        <w:rPr>
          <w:rFonts w:hAnsi="Times New Roman" w:cs="Times New Roman"/>
        </w:rPr>
        <w:t>.</w:t>
      </w:r>
      <w:r w:rsidR="00804A91" w:rsidRPr="00EE3D94">
        <w:rPr>
          <w:rFonts w:hAnsi="Times New Roman" w:cs="Times New Roman"/>
        </w:rPr>
        <w:t xml:space="preserve"> </w:t>
      </w:r>
      <w:r w:rsidR="00804A91">
        <w:rPr>
          <w:rFonts w:hAnsi="Times New Roman" w:cs="Times New Roman"/>
        </w:rPr>
        <w:t>S</w:t>
      </w:r>
      <w:r w:rsidR="00804A91" w:rsidRPr="00EE3D94">
        <w:rPr>
          <w:rFonts w:hAnsi="Times New Roman" w:cs="Times New Roman"/>
        </w:rPr>
        <w:t xml:space="preserve">in </w:t>
      </w:r>
      <w:r w:rsidRPr="00EE3D94">
        <w:rPr>
          <w:rFonts w:hAnsi="Times New Roman" w:cs="Times New Roman"/>
        </w:rPr>
        <w:t xml:space="preserve">embargo, la comisión es integrada por los mismos parlamentarios. </w:t>
      </w:r>
    </w:p>
    <w:p w14:paraId="393AC4E3" w14:textId="56AFB866" w:rsidR="00954FFF" w:rsidRPr="00EE3D94" w:rsidRDefault="008A48F7" w:rsidP="006735A7">
      <w:pPr>
        <w:pStyle w:val="Cuerpo"/>
        <w:spacing w:before="120" w:after="120" w:line="360" w:lineRule="auto"/>
        <w:ind w:firstLine="708"/>
        <w:jc w:val="both"/>
        <w:rPr>
          <w:rFonts w:hAnsi="Times New Roman" w:cs="Times New Roman"/>
        </w:rPr>
      </w:pPr>
      <w:r w:rsidRPr="00EE3D94">
        <w:rPr>
          <w:rFonts w:hAnsi="Times New Roman" w:cs="Times New Roman"/>
        </w:rPr>
        <w:t>Por su parte,</w:t>
      </w:r>
      <w:r w:rsidR="00954FFF" w:rsidRPr="00EE3D94">
        <w:rPr>
          <w:rFonts w:hAnsi="Times New Roman" w:cs="Times New Roman"/>
        </w:rPr>
        <w:t xml:space="preserve"> </w:t>
      </w:r>
      <w:r w:rsidRPr="00EE3D94">
        <w:rPr>
          <w:rFonts w:hAnsi="Times New Roman" w:cs="Times New Roman"/>
        </w:rPr>
        <w:t xml:space="preserve">en </w:t>
      </w:r>
      <w:r w:rsidR="00954FFF" w:rsidRPr="00EE3D94">
        <w:rPr>
          <w:rFonts w:hAnsi="Times New Roman" w:cs="Times New Roman"/>
        </w:rPr>
        <w:t xml:space="preserve">Bolivia, México y Ecuador, sobresalen las </w:t>
      </w:r>
      <w:r w:rsidR="00954FFF" w:rsidRPr="00F84B32">
        <w:rPr>
          <w:rFonts w:hAnsi="Times New Roman" w:cs="Times New Roman"/>
        </w:rPr>
        <w:t>oficinas ciudadanas de gestión y atención ciudadana en los distritos electorales de sus representantes.</w:t>
      </w:r>
      <w:r w:rsidR="00954FFF" w:rsidRPr="00F84B32">
        <w:rPr>
          <w:rStyle w:val="Refdenotaalpie"/>
          <w:rFonts w:hAnsi="Times New Roman" w:cs="Times New Roman"/>
        </w:rPr>
        <w:footnoteReference w:id="8"/>
      </w:r>
      <w:r w:rsidR="00954FFF" w:rsidRPr="00EE3D94">
        <w:rPr>
          <w:rFonts w:hAnsi="Times New Roman" w:cs="Times New Roman"/>
        </w:rPr>
        <w:t xml:space="preserve"> Argentina y Colombia cuentan con Audiencias Públicas donde los ciudadanos y representantes de asociaciones exponen temas de interés (Transparencia, 2013). Es decir, mientras en Chile los legisladores son sujetos de responsabilidad presupuestal</w:t>
      </w:r>
      <w:r w:rsidR="00804A91">
        <w:rPr>
          <w:rFonts w:hAnsi="Times New Roman" w:cs="Times New Roman"/>
        </w:rPr>
        <w:t>,</w:t>
      </w:r>
      <w:r w:rsidR="00804A91" w:rsidRPr="00EE3D94">
        <w:rPr>
          <w:rFonts w:hAnsi="Times New Roman" w:cs="Times New Roman"/>
        </w:rPr>
        <w:t xml:space="preserve"> </w:t>
      </w:r>
      <w:r w:rsidR="00954FFF" w:rsidRPr="00EE3D94">
        <w:rPr>
          <w:rFonts w:hAnsi="Times New Roman" w:cs="Times New Roman"/>
        </w:rPr>
        <w:t>en Bolivia, México y Ecuador la relación con los ciudadanos es de gestión y de alguna manera consultiva no vinculante. En Colombia y Argentina, las audiencias son un acceso al debate ciudadano, pero sin fuerza vinculatoria ni responsabilidad presupuestal.</w:t>
      </w:r>
    </w:p>
    <w:p w14:paraId="76ACF8D3" w14:textId="7724E667" w:rsidR="008A48F7" w:rsidRDefault="008A48F7" w:rsidP="006735A7">
      <w:pPr>
        <w:spacing w:line="360" w:lineRule="auto"/>
        <w:ind w:firstLine="708"/>
        <w:jc w:val="both"/>
        <w:rPr>
          <w:lang w:val="es-ES_tradnl"/>
        </w:rPr>
      </w:pPr>
      <w:r w:rsidRPr="00EE3D94">
        <w:rPr>
          <w:lang w:val="es-ES_tradnl"/>
        </w:rPr>
        <w:t xml:space="preserve">La importancia de las instancias de monitoreo y auditoria legislativa han sido prioritarias en los últimos años en la medida en la que los </w:t>
      </w:r>
      <w:r w:rsidR="00804A91">
        <w:rPr>
          <w:lang w:val="es-ES_tradnl"/>
        </w:rPr>
        <w:t>C</w:t>
      </w:r>
      <w:r w:rsidR="00804A91" w:rsidRPr="00EE3D94">
        <w:rPr>
          <w:lang w:val="es-ES_tradnl"/>
        </w:rPr>
        <w:t xml:space="preserve">ongresos </w:t>
      </w:r>
      <w:r w:rsidRPr="00EE3D94">
        <w:rPr>
          <w:lang w:val="es-ES_tradnl"/>
        </w:rPr>
        <w:t xml:space="preserve">han incrementado exponencialmente sus presupuestos como parte de los procesos de modernización </w:t>
      </w:r>
      <w:r w:rsidRPr="00EE3D94">
        <w:rPr>
          <w:lang w:val="es-ES_tradnl"/>
        </w:rPr>
        <w:lastRenderedPageBreak/>
        <w:t xml:space="preserve">institucional que favorecen la autonomía y la representación. De las primeras acciones, el monitoreo presupuestal ha sido uno de los que llama la atención, sobre todo si </w:t>
      </w:r>
      <w:r w:rsidR="00731ECD">
        <w:rPr>
          <w:lang w:val="es-ES_tradnl"/>
        </w:rPr>
        <w:t>se toma</w:t>
      </w:r>
      <w:r w:rsidR="00731ECD" w:rsidRPr="00EE3D94">
        <w:rPr>
          <w:lang w:val="es-ES_tradnl"/>
        </w:rPr>
        <w:t xml:space="preserve"> </w:t>
      </w:r>
      <w:r w:rsidRPr="00EE3D94">
        <w:rPr>
          <w:lang w:val="es-ES_tradnl"/>
        </w:rPr>
        <w:t xml:space="preserve">como referente el Congreso </w:t>
      </w:r>
      <w:r w:rsidR="000A265C">
        <w:rPr>
          <w:lang w:val="es-ES_tradnl"/>
        </w:rPr>
        <w:t>e</w:t>
      </w:r>
      <w:r w:rsidR="00804A91">
        <w:rPr>
          <w:lang w:val="es-ES_tradnl"/>
        </w:rPr>
        <w:t>stadounidense</w:t>
      </w:r>
      <w:r w:rsidR="00804A91" w:rsidRPr="00EE3D94">
        <w:rPr>
          <w:lang w:val="es-ES_tradnl"/>
        </w:rPr>
        <w:t xml:space="preserve"> </w:t>
      </w:r>
      <w:r w:rsidRPr="00EE3D94">
        <w:rPr>
          <w:lang w:val="es-ES_tradnl"/>
        </w:rPr>
        <w:t xml:space="preserve">como la asamblea que ocupa el primer lugar mundial en asignación presupuestal, dado que es el </w:t>
      </w:r>
      <w:r w:rsidR="00804A91">
        <w:rPr>
          <w:lang w:val="es-ES_tradnl"/>
        </w:rPr>
        <w:t>c</w:t>
      </w:r>
      <w:r w:rsidR="00804A91" w:rsidRPr="00EE3D94">
        <w:rPr>
          <w:lang w:val="es-ES_tradnl"/>
        </w:rPr>
        <w:t xml:space="preserve">ongreso </w:t>
      </w:r>
      <w:r w:rsidRPr="00EE3D94">
        <w:rPr>
          <w:lang w:val="es-ES_tradnl"/>
        </w:rPr>
        <w:t>con el mayor número de personal especializado en diversas materias de política pública. Llama la atención que</w:t>
      </w:r>
      <w:r w:rsidR="000A265C">
        <w:rPr>
          <w:lang w:val="es-ES_tradnl"/>
        </w:rPr>
        <w:t xml:space="preserve"> el de</w:t>
      </w:r>
      <w:r w:rsidRPr="00EE3D94">
        <w:rPr>
          <w:lang w:val="es-ES_tradnl"/>
        </w:rPr>
        <w:t xml:space="preserve"> Brasil sea el segundo </w:t>
      </w:r>
      <w:r w:rsidR="000A265C">
        <w:rPr>
          <w:lang w:val="es-ES_tradnl"/>
        </w:rPr>
        <w:t>c</w:t>
      </w:r>
      <w:r w:rsidR="000A265C" w:rsidRPr="00EE3D94">
        <w:rPr>
          <w:lang w:val="es-ES_tradnl"/>
        </w:rPr>
        <w:t xml:space="preserve">ongreso </w:t>
      </w:r>
      <w:r w:rsidRPr="00EE3D94">
        <w:rPr>
          <w:lang w:val="es-ES_tradnl"/>
        </w:rPr>
        <w:t>con mayor presupuesto en el mundo o México</w:t>
      </w:r>
      <w:r w:rsidR="00804A91">
        <w:rPr>
          <w:lang w:val="es-ES_tradnl"/>
        </w:rPr>
        <w:t>,</w:t>
      </w:r>
      <w:r w:rsidRPr="00EE3D94">
        <w:rPr>
          <w:lang w:val="es-ES_tradnl"/>
        </w:rPr>
        <w:t xml:space="preserve"> </w:t>
      </w:r>
      <w:r w:rsidR="00804A91">
        <w:rPr>
          <w:lang w:val="es-ES_tradnl"/>
        </w:rPr>
        <w:t>que</w:t>
      </w:r>
      <w:r w:rsidR="00804A91" w:rsidRPr="00EE3D94">
        <w:rPr>
          <w:lang w:val="es-ES_tradnl"/>
        </w:rPr>
        <w:t xml:space="preserve"> </w:t>
      </w:r>
      <w:r w:rsidRPr="00EE3D94">
        <w:rPr>
          <w:lang w:val="es-ES_tradnl"/>
        </w:rPr>
        <w:t>ocupa el quinto lugar</w:t>
      </w:r>
      <w:r w:rsidR="00804A91">
        <w:rPr>
          <w:lang w:val="es-ES_tradnl"/>
        </w:rPr>
        <w:t>,</w:t>
      </w:r>
      <w:r w:rsidRPr="00EE3D94">
        <w:rPr>
          <w:lang w:val="es-ES_tradnl"/>
        </w:rPr>
        <w:t xml:space="preserve"> o Argentina</w:t>
      </w:r>
      <w:r w:rsidR="00804A91">
        <w:rPr>
          <w:lang w:val="es-ES_tradnl"/>
        </w:rPr>
        <w:t>,</w:t>
      </w:r>
      <w:r w:rsidRPr="00EE3D94">
        <w:rPr>
          <w:lang w:val="es-ES_tradnl"/>
        </w:rPr>
        <w:t xml:space="preserve"> el séptimo sitio mundial (PNUD, Unión Interparlamentaria, 2012). A nivel regional</w:t>
      </w:r>
      <w:r w:rsidR="00804A91">
        <w:rPr>
          <w:lang w:val="es-ES_tradnl"/>
        </w:rPr>
        <w:t>,</w:t>
      </w:r>
      <w:r w:rsidRPr="00EE3D94">
        <w:rPr>
          <w:lang w:val="es-ES_tradnl"/>
        </w:rPr>
        <w:t xml:space="preserve"> estos tres congresos latinoamericanos ocupan los tres primeros lugares en asignaciones presupuestales altas</w:t>
      </w:r>
      <w:r w:rsidR="00A75213" w:rsidRPr="00EE3D94">
        <w:rPr>
          <w:lang w:val="es-ES_tradnl"/>
        </w:rPr>
        <w:t xml:space="preserve"> -como se aprecia en </w:t>
      </w:r>
      <w:r w:rsidR="00804A91">
        <w:rPr>
          <w:lang w:val="es-ES_tradnl"/>
        </w:rPr>
        <w:t>la tabla cinco</w:t>
      </w:r>
      <w:r w:rsidRPr="00EE3D94">
        <w:rPr>
          <w:lang w:val="es-ES_tradnl"/>
        </w:rPr>
        <w:t xml:space="preserve">-, situación que no se corresponde con los índices de transparencia presupuestal identificados en la gráfica 2, </w:t>
      </w:r>
      <w:r w:rsidR="00804A91">
        <w:rPr>
          <w:lang w:val="es-ES_tradnl"/>
        </w:rPr>
        <w:t>en la que</w:t>
      </w:r>
      <w:r w:rsidR="00804A91" w:rsidRPr="00EE3D94">
        <w:rPr>
          <w:lang w:val="es-ES_tradnl"/>
        </w:rPr>
        <w:t xml:space="preserve"> </w:t>
      </w:r>
      <w:r w:rsidRPr="00EE3D94">
        <w:rPr>
          <w:lang w:val="es-ES_tradnl"/>
        </w:rPr>
        <w:t>México y Argentina resultan deficitarios en la transparencia de sus recursos.</w:t>
      </w:r>
    </w:p>
    <w:p w14:paraId="60971955" w14:textId="77777777" w:rsidR="00767227" w:rsidRPr="00EE3D94" w:rsidRDefault="00767227" w:rsidP="008A48F7">
      <w:pPr>
        <w:spacing w:line="360" w:lineRule="auto"/>
        <w:jc w:val="both"/>
        <w:rPr>
          <w:lang w:val="es-ES_tradnl"/>
        </w:rPr>
      </w:pPr>
    </w:p>
    <w:p w14:paraId="6CDAA162" w14:textId="44D511E6" w:rsidR="00806E94" w:rsidRPr="00EE3D94" w:rsidRDefault="00804A91" w:rsidP="003267AC">
      <w:pPr>
        <w:pStyle w:val="Cuerpo"/>
        <w:spacing w:before="120" w:after="120" w:line="360" w:lineRule="auto"/>
        <w:jc w:val="center"/>
        <w:rPr>
          <w:rFonts w:hAnsi="Times New Roman" w:cs="Times New Roman"/>
          <w:sz w:val="20"/>
          <w:szCs w:val="20"/>
        </w:rPr>
      </w:pPr>
      <w:r w:rsidRPr="006735A7">
        <w:rPr>
          <w:rFonts w:hAnsi="Times New Roman" w:cs="Times New Roman"/>
          <w:b/>
          <w:szCs w:val="20"/>
        </w:rPr>
        <w:t xml:space="preserve">Tabla </w:t>
      </w:r>
      <w:r w:rsidR="00A75213" w:rsidRPr="006735A7">
        <w:rPr>
          <w:rFonts w:hAnsi="Times New Roman" w:cs="Times New Roman"/>
          <w:b/>
          <w:szCs w:val="20"/>
        </w:rPr>
        <w:t>5</w:t>
      </w:r>
      <w:r w:rsidR="003267AC">
        <w:rPr>
          <w:rFonts w:hAnsi="Times New Roman" w:cs="Times New Roman"/>
          <w:szCs w:val="20"/>
        </w:rPr>
        <w:t xml:space="preserve">. </w:t>
      </w:r>
      <w:r w:rsidR="00806E94" w:rsidRPr="003267AC">
        <w:rPr>
          <w:rFonts w:hAnsi="Times New Roman" w:cs="Times New Roman"/>
          <w:szCs w:val="20"/>
        </w:rPr>
        <w:t>Asignaciones presupuestales e índice de transparencia</w:t>
      </w:r>
    </w:p>
    <w:tbl>
      <w:tblPr>
        <w:tblStyle w:val="Tablaconcuadrcula"/>
        <w:tblW w:w="9180" w:type="dxa"/>
        <w:tblLook w:val="04A0" w:firstRow="1" w:lastRow="0" w:firstColumn="1" w:lastColumn="0" w:noHBand="0" w:noVBand="1"/>
      </w:tblPr>
      <w:tblGrid>
        <w:gridCol w:w="1985"/>
        <w:gridCol w:w="2268"/>
        <w:gridCol w:w="2551"/>
        <w:gridCol w:w="2376"/>
      </w:tblGrid>
      <w:tr w:rsidR="00806E94" w:rsidRPr="00EE3D94" w14:paraId="643F6FB3" w14:textId="77777777" w:rsidTr="00124111">
        <w:tc>
          <w:tcPr>
            <w:tcW w:w="1985" w:type="dxa"/>
          </w:tcPr>
          <w:p w14:paraId="1A6E2E61" w14:textId="77777777" w:rsidR="00806E94" w:rsidRPr="006735A7" w:rsidRDefault="00806E94" w:rsidP="006735A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hAnsi="Times New Roman" w:cs="Times New Roman"/>
                <w:b/>
              </w:rPr>
            </w:pPr>
            <w:r w:rsidRPr="006735A7">
              <w:rPr>
                <w:rFonts w:hAnsi="Times New Roman" w:cs="Times New Roman"/>
                <w:b/>
              </w:rPr>
              <w:t>País</w:t>
            </w:r>
          </w:p>
        </w:tc>
        <w:tc>
          <w:tcPr>
            <w:tcW w:w="2268" w:type="dxa"/>
          </w:tcPr>
          <w:p w14:paraId="0FF609CC" w14:textId="77777777" w:rsidR="00806E94" w:rsidRPr="006735A7" w:rsidRDefault="00806E94" w:rsidP="006735A7">
            <w:pPr>
              <w:pStyle w:val="Cuerpo"/>
              <w:pBdr>
                <w:top w:val="none" w:sz="0" w:space="0" w:color="auto"/>
                <w:left w:val="none" w:sz="0" w:space="0" w:color="auto"/>
                <w:bottom w:val="none" w:sz="0" w:space="0" w:color="auto"/>
                <w:right w:val="none" w:sz="0" w:space="0" w:color="auto"/>
                <w:between w:val="none" w:sz="0" w:space="0" w:color="auto"/>
                <w:bar w:val="none" w:sz="0" w:color="auto"/>
              </w:pBdr>
              <w:ind w:right="-77" w:hanging="2"/>
              <w:jc w:val="center"/>
              <w:rPr>
                <w:rFonts w:hAnsi="Times New Roman" w:cs="Times New Roman"/>
                <w:b/>
              </w:rPr>
            </w:pPr>
            <w:r w:rsidRPr="006735A7">
              <w:rPr>
                <w:rFonts w:hAnsi="Times New Roman" w:cs="Times New Roman"/>
                <w:b/>
              </w:rPr>
              <w:t>Asignación presupuestal (en millones de dólares)</w:t>
            </w:r>
          </w:p>
        </w:tc>
        <w:tc>
          <w:tcPr>
            <w:tcW w:w="2551" w:type="dxa"/>
          </w:tcPr>
          <w:p w14:paraId="6CE28051" w14:textId="77777777" w:rsidR="00806E94" w:rsidRPr="006735A7" w:rsidRDefault="00806E94" w:rsidP="006735A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hAnsi="Times New Roman" w:cs="Times New Roman"/>
                <w:b/>
              </w:rPr>
            </w:pPr>
            <w:r w:rsidRPr="006735A7">
              <w:rPr>
                <w:rFonts w:hAnsi="Times New Roman" w:cs="Times New Roman"/>
                <w:b/>
              </w:rPr>
              <w:t>Índice de transparencia presupuestal* (2014)</w:t>
            </w:r>
          </w:p>
        </w:tc>
        <w:tc>
          <w:tcPr>
            <w:tcW w:w="2376" w:type="dxa"/>
          </w:tcPr>
          <w:p w14:paraId="48619FE2" w14:textId="77777777" w:rsidR="00806E94" w:rsidRPr="006735A7" w:rsidRDefault="00806E94" w:rsidP="006735A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hAnsi="Times New Roman" w:cs="Times New Roman"/>
                <w:b/>
              </w:rPr>
            </w:pPr>
            <w:r w:rsidRPr="006735A7">
              <w:rPr>
                <w:rFonts w:hAnsi="Times New Roman" w:cs="Times New Roman"/>
                <w:b/>
              </w:rPr>
              <w:t>Índice de transparencia presupuestal* (2016)</w:t>
            </w:r>
          </w:p>
        </w:tc>
      </w:tr>
      <w:tr w:rsidR="00806E94" w:rsidRPr="00EE3D94" w14:paraId="0D92F80C" w14:textId="77777777" w:rsidTr="00124111">
        <w:tc>
          <w:tcPr>
            <w:tcW w:w="1985" w:type="dxa"/>
          </w:tcPr>
          <w:p w14:paraId="70AD149E"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Brasil</w:t>
            </w:r>
          </w:p>
        </w:tc>
        <w:tc>
          <w:tcPr>
            <w:tcW w:w="2268" w:type="dxa"/>
          </w:tcPr>
          <w:p w14:paraId="3AFCF57F"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35,105.7</w:t>
            </w:r>
          </w:p>
        </w:tc>
        <w:tc>
          <w:tcPr>
            <w:tcW w:w="2551" w:type="dxa"/>
          </w:tcPr>
          <w:p w14:paraId="1562EBF8"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S/D</w:t>
            </w:r>
          </w:p>
        </w:tc>
        <w:tc>
          <w:tcPr>
            <w:tcW w:w="2376" w:type="dxa"/>
          </w:tcPr>
          <w:p w14:paraId="0F0352FA"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S/D</w:t>
            </w:r>
          </w:p>
        </w:tc>
      </w:tr>
      <w:tr w:rsidR="00806E94" w:rsidRPr="00EE3D94" w14:paraId="557100C3" w14:textId="77777777" w:rsidTr="00124111">
        <w:tc>
          <w:tcPr>
            <w:tcW w:w="1985" w:type="dxa"/>
          </w:tcPr>
          <w:p w14:paraId="5A4292D0"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México</w:t>
            </w:r>
          </w:p>
        </w:tc>
        <w:tc>
          <w:tcPr>
            <w:tcW w:w="2268" w:type="dxa"/>
          </w:tcPr>
          <w:p w14:paraId="47072714"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8,878.1</w:t>
            </w:r>
          </w:p>
        </w:tc>
        <w:tc>
          <w:tcPr>
            <w:tcW w:w="2551" w:type="dxa"/>
          </w:tcPr>
          <w:p w14:paraId="78730B38"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0.28</w:t>
            </w:r>
          </w:p>
        </w:tc>
        <w:tc>
          <w:tcPr>
            <w:tcW w:w="2376" w:type="dxa"/>
          </w:tcPr>
          <w:p w14:paraId="70826531"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0.39</w:t>
            </w:r>
          </w:p>
        </w:tc>
      </w:tr>
      <w:tr w:rsidR="00806E94" w:rsidRPr="00EE3D94" w14:paraId="43FC1E97" w14:textId="77777777" w:rsidTr="00124111">
        <w:tc>
          <w:tcPr>
            <w:tcW w:w="1985" w:type="dxa"/>
          </w:tcPr>
          <w:p w14:paraId="6B370B55"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Argentina</w:t>
            </w:r>
          </w:p>
        </w:tc>
        <w:tc>
          <w:tcPr>
            <w:tcW w:w="2268" w:type="dxa"/>
          </w:tcPr>
          <w:p w14:paraId="39BABB8F"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5016.5</w:t>
            </w:r>
          </w:p>
        </w:tc>
        <w:tc>
          <w:tcPr>
            <w:tcW w:w="2551" w:type="dxa"/>
          </w:tcPr>
          <w:p w14:paraId="4BBA2435"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0.20</w:t>
            </w:r>
          </w:p>
        </w:tc>
        <w:tc>
          <w:tcPr>
            <w:tcW w:w="2376" w:type="dxa"/>
          </w:tcPr>
          <w:p w14:paraId="3F0BD521"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0.27</w:t>
            </w:r>
          </w:p>
        </w:tc>
      </w:tr>
      <w:tr w:rsidR="00806E94" w:rsidRPr="00EE3D94" w14:paraId="0EEF7D0D" w14:textId="77777777" w:rsidTr="00124111">
        <w:tc>
          <w:tcPr>
            <w:tcW w:w="1985" w:type="dxa"/>
          </w:tcPr>
          <w:p w14:paraId="3A2E6B43"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Colombia</w:t>
            </w:r>
          </w:p>
        </w:tc>
        <w:tc>
          <w:tcPr>
            <w:tcW w:w="2268" w:type="dxa"/>
          </w:tcPr>
          <w:p w14:paraId="21D5AC1A"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2,468.8</w:t>
            </w:r>
          </w:p>
        </w:tc>
        <w:tc>
          <w:tcPr>
            <w:tcW w:w="2551" w:type="dxa"/>
          </w:tcPr>
          <w:p w14:paraId="1D383538"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0.48</w:t>
            </w:r>
          </w:p>
        </w:tc>
        <w:tc>
          <w:tcPr>
            <w:tcW w:w="2376" w:type="dxa"/>
          </w:tcPr>
          <w:p w14:paraId="105E5BAC"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0.55</w:t>
            </w:r>
          </w:p>
        </w:tc>
      </w:tr>
      <w:tr w:rsidR="00806E94" w:rsidRPr="00EE3D94" w14:paraId="2F62DAA0" w14:textId="77777777" w:rsidTr="00124111">
        <w:tc>
          <w:tcPr>
            <w:tcW w:w="1985" w:type="dxa"/>
          </w:tcPr>
          <w:p w14:paraId="149D0B9B"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Venezuela</w:t>
            </w:r>
          </w:p>
        </w:tc>
        <w:tc>
          <w:tcPr>
            <w:tcW w:w="2268" w:type="dxa"/>
          </w:tcPr>
          <w:p w14:paraId="67D2EF68"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2,276</w:t>
            </w:r>
          </w:p>
        </w:tc>
        <w:tc>
          <w:tcPr>
            <w:tcW w:w="2551" w:type="dxa"/>
          </w:tcPr>
          <w:p w14:paraId="2237482B"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0.6</w:t>
            </w:r>
          </w:p>
        </w:tc>
        <w:tc>
          <w:tcPr>
            <w:tcW w:w="2376" w:type="dxa"/>
          </w:tcPr>
          <w:p w14:paraId="3DD855DD"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0.7</w:t>
            </w:r>
          </w:p>
        </w:tc>
      </w:tr>
      <w:tr w:rsidR="00806E94" w:rsidRPr="00EE3D94" w14:paraId="1D561BA7" w14:textId="77777777" w:rsidTr="00124111">
        <w:tc>
          <w:tcPr>
            <w:tcW w:w="1985" w:type="dxa"/>
          </w:tcPr>
          <w:p w14:paraId="7E69EFB5" w14:textId="76DED8B9" w:rsidR="00806E94" w:rsidRPr="00EE3D94" w:rsidRDefault="00804A91"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Rep</w:t>
            </w:r>
            <w:r>
              <w:rPr>
                <w:rFonts w:hAnsi="Times New Roman" w:cs="Times New Roman"/>
              </w:rPr>
              <w:t>.</w:t>
            </w:r>
            <w:r w:rsidRPr="00EE3D94">
              <w:rPr>
                <w:rFonts w:hAnsi="Times New Roman" w:cs="Times New Roman"/>
              </w:rPr>
              <w:t xml:space="preserve"> </w:t>
            </w:r>
            <w:r w:rsidR="00806E94" w:rsidRPr="00EE3D94">
              <w:rPr>
                <w:rFonts w:hAnsi="Times New Roman" w:cs="Times New Roman"/>
              </w:rPr>
              <w:t>Dominicana</w:t>
            </w:r>
          </w:p>
        </w:tc>
        <w:tc>
          <w:tcPr>
            <w:tcW w:w="2268" w:type="dxa"/>
          </w:tcPr>
          <w:p w14:paraId="411DECD0"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1,952.7</w:t>
            </w:r>
          </w:p>
        </w:tc>
        <w:tc>
          <w:tcPr>
            <w:tcW w:w="2551" w:type="dxa"/>
          </w:tcPr>
          <w:p w14:paraId="3412BD5B"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S/D</w:t>
            </w:r>
          </w:p>
        </w:tc>
        <w:tc>
          <w:tcPr>
            <w:tcW w:w="2376" w:type="dxa"/>
          </w:tcPr>
          <w:p w14:paraId="4DF72513"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0.21</w:t>
            </w:r>
          </w:p>
        </w:tc>
      </w:tr>
      <w:tr w:rsidR="00806E94" w:rsidRPr="00EE3D94" w14:paraId="465A5A02" w14:textId="77777777" w:rsidTr="00124111">
        <w:tc>
          <w:tcPr>
            <w:tcW w:w="1985" w:type="dxa"/>
          </w:tcPr>
          <w:p w14:paraId="0B6F8FAA"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Chile</w:t>
            </w:r>
          </w:p>
        </w:tc>
        <w:tc>
          <w:tcPr>
            <w:tcW w:w="2268" w:type="dxa"/>
          </w:tcPr>
          <w:p w14:paraId="51E736DC"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1,633.2</w:t>
            </w:r>
          </w:p>
        </w:tc>
        <w:tc>
          <w:tcPr>
            <w:tcW w:w="2551" w:type="dxa"/>
          </w:tcPr>
          <w:p w14:paraId="2E30886A"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0.61</w:t>
            </w:r>
          </w:p>
        </w:tc>
        <w:tc>
          <w:tcPr>
            <w:tcW w:w="2376" w:type="dxa"/>
          </w:tcPr>
          <w:p w14:paraId="16EE12F7"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0.61</w:t>
            </w:r>
          </w:p>
        </w:tc>
      </w:tr>
      <w:tr w:rsidR="00806E94" w:rsidRPr="00EE3D94" w14:paraId="2A0EA0FA" w14:textId="77777777" w:rsidTr="00124111">
        <w:tc>
          <w:tcPr>
            <w:tcW w:w="1985" w:type="dxa"/>
          </w:tcPr>
          <w:p w14:paraId="133BD51F" w14:textId="5E2D1F93"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Uruguay</w:t>
            </w:r>
            <w:r w:rsidR="00C76582" w:rsidRPr="00EE3D94">
              <w:rPr>
                <w:rFonts w:hAnsi="Times New Roman" w:cs="Times New Roman"/>
              </w:rPr>
              <w:t>**</w:t>
            </w:r>
          </w:p>
        </w:tc>
        <w:tc>
          <w:tcPr>
            <w:tcW w:w="2268" w:type="dxa"/>
          </w:tcPr>
          <w:p w14:paraId="796BCA4B"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1,113.4</w:t>
            </w:r>
          </w:p>
        </w:tc>
        <w:tc>
          <w:tcPr>
            <w:tcW w:w="2551" w:type="dxa"/>
          </w:tcPr>
          <w:p w14:paraId="373C9CC0"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S/D</w:t>
            </w:r>
          </w:p>
        </w:tc>
        <w:tc>
          <w:tcPr>
            <w:tcW w:w="2376" w:type="dxa"/>
          </w:tcPr>
          <w:p w14:paraId="2B56552E"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S/D</w:t>
            </w:r>
          </w:p>
        </w:tc>
      </w:tr>
      <w:tr w:rsidR="00806E94" w:rsidRPr="00EE3D94" w14:paraId="287E2DEA" w14:textId="77777777" w:rsidTr="00124111">
        <w:tc>
          <w:tcPr>
            <w:tcW w:w="1985" w:type="dxa"/>
          </w:tcPr>
          <w:p w14:paraId="0E425371"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Costa Rica</w:t>
            </w:r>
          </w:p>
        </w:tc>
        <w:tc>
          <w:tcPr>
            <w:tcW w:w="2268" w:type="dxa"/>
          </w:tcPr>
          <w:p w14:paraId="2187C781"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498.1</w:t>
            </w:r>
          </w:p>
        </w:tc>
        <w:tc>
          <w:tcPr>
            <w:tcW w:w="2551" w:type="dxa"/>
          </w:tcPr>
          <w:p w14:paraId="70FD7534"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0.79</w:t>
            </w:r>
          </w:p>
        </w:tc>
        <w:tc>
          <w:tcPr>
            <w:tcW w:w="2376" w:type="dxa"/>
          </w:tcPr>
          <w:p w14:paraId="468647D2" w14:textId="77777777" w:rsidR="00806E94" w:rsidRPr="00EE3D94" w:rsidRDefault="00806E94" w:rsidP="00124111">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EE3D94">
              <w:rPr>
                <w:rFonts w:hAnsi="Times New Roman" w:cs="Times New Roman"/>
              </w:rPr>
              <w:t>0.79</w:t>
            </w:r>
          </w:p>
        </w:tc>
      </w:tr>
    </w:tbl>
    <w:p w14:paraId="0BB42FB2" w14:textId="09AE4B36" w:rsidR="00806E94" w:rsidRPr="00EE3D94" w:rsidRDefault="00806E94" w:rsidP="003267AC">
      <w:pPr>
        <w:pStyle w:val="Cuerpo"/>
        <w:spacing w:before="120" w:after="120"/>
        <w:jc w:val="center"/>
        <w:rPr>
          <w:rFonts w:hAnsi="Times New Roman" w:cs="Times New Roman"/>
          <w:sz w:val="20"/>
          <w:szCs w:val="20"/>
        </w:rPr>
      </w:pPr>
      <w:r w:rsidRPr="00EE3D94">
        <w:rPr>
          <w:rFonts w:hAnsi="Times New Roman" w:cs="Times New Roman"/>
          <w:sz w:val="20"/>
          <w:szCs w:val="20"/>
        </w:rPr>
        <w:t>*El índice tiene un rango entre 0 y 1</w:t>
      </w:r>
      <w:r w:rsidR="00804A91">
        <w:rPr>
          <w:rFonts w:hAnsi="Times New Roman" w:cs="Times New Roman"/>
          <w:sz w:val="20"/>
          <w:szCs w:val="20"/>
        </w:rPr>
        <w:t>;</w:t>
      </w:r>
      <w:r w:rsidR="00804A91" w:rsidRPr="00EE3D94">
        <w:rPr>
          <w:rFonts w:hAnsi="Times New Roman" w:cs="Times New Roman"/>
          <w:sz w:val="20"/>
          <w:szCs w:val="20"/>
        </w:rPr>
        <w:t xml:space="preserve"> </w:t>
      </w:r>
      <w:r w:rsidRPr="00EE3D94">
        <w:rPr>
          <w:rFonts w:hAnsi="Times New Roman" w:cs="Times New Roman"/>
          <w:sz w:val="20"/>
          <w:szCs w:val="20"/>
        </w:rPr>
        <w:t>los cercanos al cero son los menos transparentes y los cercanos al uno son los más transparentes. En 2016</w:t>
      </w:r>
      <w:r w:rsidR="00804A91">
        <w:rPr>
          <w:rFonts w:hAnsi="Times New Roman" w:cs="Times New Roman"/>
          <w:sz w:val="20"/>
          <w:szCs w:val="20"/>
        </w:rPr>
        <w:t>,</w:t>
      </w:r>
      <w:r w:rsidRPr="00EE3D94">
        <w:rPr>
          <w:rFonts w:hAnsi="Times New Roman" w:cs="Times New Roman"/>
          <w:sz w:val="20"/>
          <w:szCs w:val="20"/>
        </w:rPr>
        <w:t xml:space="preserve"> se </w:t>
      </w:r>
      <w:r w:rsidR="00804A91" w:rsidRPr="00EE3D94">
        <w:rPr>
          <w:rFonts w:hAnsi="Times New Roman" w:cs="Times New Roman"/>
          <w:sz w:val="20"/>
          <w:szCs w:val="20"/>
        </w:rPr>
        <w:t>adhi</w:t>
      </w:r>
      <w:r w:rsidR="00804A91">
        <w:rPr>
          <w:rFonts w:hAnsi="Times New Roman" w:cs="Times New Roman"/>
          <w:sz w:val="20"/>
          <w:szCs w:val="20"/>
        </w:rPr>
        <w:t>riero</w:t>
      </w:r>
      <w:r w:rsidR="00804A91" w:rsidRPr="00EE3D94">
        <w:rPr>
          <w:rFonts w:hAnsi="Times New Roman" w:cs="Times New Roman"/>
          <w:sz w:val="20"/>
          <w:szCs w:val="20"/>
        </w:rPr>
        <w:t xml:space="preserve">n </w:t>
      </w:r>
      <w:r w:rsidRPr="00EE3D94">
        <w:rPr>
          <w:rFonts w:hAnsi="Times New Roman" w:cs="Times New Roman"/>
          <w:sz w:val="20"/>
          <w:szCs w:val="20"/>
        </w:rPr>
        <w:t>al acuerdo de transparencia cuatro países de la región</w:t>
      </w:r>
      <w:r w:rsidR="00C76582" w:rsidRPr="00EE3D94">
        <w:rPr>
          <w:rFonts w:hAnsi="Times New Roman" w:cs="Times New Roman"/>
          <w:sz w:val="20"/>
          <w:szCs w:val="20"/>
        </w:rPr>
        <w:t xml:space="preserve"> (Costa Rica, República Dominicana, Panamá y Paraguay).</w:t>
      </w:r>
    </w:p>
    <w:p w14:paraId="32E584A0" w14:textId="33687300" w:rsidR="00954FFF" w:rsidRPr="00EE3D94" w:rsidRDefault="00C76582" w:rsidP="003267AC">
      <w:pPr>
        <w:pStyle w:val="Cuerpo"/>
        <w:jc w:val="center"/>
        <w:rPr>
          <w:rFonts w:hAnsi="Times New Roman" w:cs="Times New Roman"/>
        </w:rPr>
      </w:pPr>
      <w:r w:rsidRPr="00EE3D94">
        <w:rPr>
          <w:rFonts w:hAnsi="Times New Roman" w:cs="Times New Roman"/>
        </w:rPr>
        <w:t xml:space="preserve">** </w:t>
      </w:r>
      <w:r w:rsidRPr="00EE3D94">
        <w:rPr>
          <w:rFonts w:hAnsi="Times New Roman" w:cs="Times New Roman"/>
          <w:sz w:val="20"/>
          <w:szCs w:val="20"/>
        </w:rPr>
        <w:t>Uruguay ha participado desde 2014 en la evaluación</w:t>
      </w:r>
      <w:r w:rsidR="00804A91">
        <w:rPr>
          <w:rFonts w:hAnsi="Times New Roman" w:cs="Times New Roman"/>
          <w:sz w:val="20"/>
          <w:szCs w:val="20"/>
        </w:rPr>
        <w:t>,</w:t>
      </w:r>
      <w:r w:rsidRPr="00EE3D94">
        <w:rPr>
          <w:rFonts w:hAnsi="Times New Roman" w:cs="Times New Roman"/>
          <w:sz w:val="20"/>
          <w:szCs w:val="20"/>
        </w:rPr>
        <w:t xml:space="preserve"> pero de manera irregular</w:t>
      </w:r>
      <w:r w:rsidR="00804A91">
        <w:rPr>
          <w:rFonts w:hAnsi="Times New Roman" w:cs="Times New Roman"/>
          <w:sz w:val="20"/>
          <w:szCs w:val="20"/>
        </w:rPr>
        <w:t>.</w:t>
      </w:r>
      <w:r w:rsidR="00804A91" w:rsidRPr="00EE3D94">
        <w:rPr>
          <w:rFonts w:hAnsi="Times New Roman" w:cs="Times New Roman"/>
          <w:sz w:val="20"/>
          <w:szCs w:val="20"/>
        </w:rPr>
        <w:t xml:space="preserve"> </w:t>
      </w:r>
      <w:r w:rsidR="00804A91">
        <w:rPr>
          <w:rFonts w:hAnsi="Times New Roman" w:cs="Times New Roman"/>
          <w:sz w:val="20"/>
          <w:szCs w:val="20"/>
        </w:rPr>
        <w:t>S</w:t>
      </w:r>
      <w:r w:rsidR="00804A91" w:rsidRPr="00EE3D94">
        <w:rPr>
          <w:rFonts w:hAnsi="Times New Roman" w:cs="Times New Roman"/>
          <w:sz w:val="20"/>
          <w:szCs w:val="20"/>
        </w:rPr>
        <w:t xml:space="preserve">olo </w:t>
      </w:r>
      <w:r w:rsidRPr="00EE3D94">
        <w:rPr>
          <w:rFonts w:hAnsi="Times New Roman" w:cs="Times New Roman"/>
          <w:sz w:val="20"/>
          <w:szCs w:val="20"/>
        </w:rPr>
        <w:t>aportó datos para la dimensión Labor del Congreso o Asamblea</w:t>
      </w:r>
      <w:r w:rsidR="00804A91">
        <w:rPr>
          <w:rFonts w:hAnsi="Times New Roman" w:cs="Times New Roman"/>
          <w:sz w:val="20"/>
          <w:szCs w:val="20"/>
        </w:rPr>
        <w:t>;</w:t>
      </w:r>
      <w:r w:rsidR="00804A91" w:rsidRPr="00EE3D94">
        <w:rPr>
          <w:rFonts w:hAnsi="Times New Roman" w:cs="Times New Roman"/>
          <w:sz w:val="20"/>
          <w:szCs w:val="20"/>
        </w:rPr>
        <w:t xml:space="preserve"> </w:t>
      </w:r>
      <w:r w:rsidR="00804A91">
        <w:rPr>
          <w:rFonts w:hAnsi="Times New Roman" w:cs="Times New Roman"/>
          <w:sz w:val="20"/>
          <w:szCs w:val="20"/>
        </w:rPr>
        <w:t xml:space="preserve">de </w:t>
      </w:r>
      <w:r w:rsidRPr="00EE3D94">
        <w:rPr>
          <w:rFonts w:hAnsi="Times New Roman" w:cs="Times New Roman"/>
          <w:sz w:val="20"/>
          <w:szCs w:val="20"/>
        </w:rPr>
        <w:t>las otras tres en la que se encuentra la dimensión presupuestal no fue posible recaudar datos para estos informes.</w:t>
      </w:r>
    </w:p>
    <w:p w14:paraId="6A3CC595" w14:textId="49108963" w:rsidR="00C76582" w:rsidRPr="00EE3D94" w:rsidRDefault="00C76582" w:rsidP="003267AC">
      <w:pPr>
        <w:pStyle w:val="Cuerpo"/>
        <w:spacing w:before="120" w:after="120"/>
        <w:jc w:val="center"/>
        <w:rPr>
          <w:rFonts w:hAnsi="Times New Roman" w:cs="Times New Roman"/>
          <w:sz w:val="20"/>
          <w:szCs w:val="20"/>
        </w:rPr>
      </w:pPr>
      <w:r w:rsidRPr="006735A7">
        <w:rPr>
          <w:rFonts w:hAnsi="Times New Roman" w:cs="Times New Roman"/>
          <w:szCs w:val="20"/>
        </w:rPr>
        <w:t>Fuente: Elaboración propia con base en datos de la Unión Interparlamentaria, 2012; Informe del índice Latinoamericano de Transparencia Legislativa, 2014 y 2016</w:t>
      </w:r>
      <w:r w:rsidRPr="00EE3D94">
        <w:rPr>
          <w:rStyle w:val="Refdenotaalpie"/>
          <w:rFonts w:hAnsi="Times New Roman" w:cs="Times New Roman"/>
          <w:sz w:val="20"/>
          <w:szCs w:val="20"/>
        </w:rPr>
        <w:footnoteReference w:id="9"/>
      </w:r>
    </w:p>
    <w:p w14:paraId="065FBD52" w14:textId="16C47485" w:rsidR="00CD07D8" w:rsidRPr="00EE3D94" w:rsidRDefault="00806E94" w:rsidP="006735A7">
      <w:pPr>
        <w:pStyle w:val="Cuerpo"/>
        <w:spacing w:before="120" w:after="120" w:line="360" w:lineRule="auto"/>
        <w:ind w:firstLine="708"/>
        <w:jc w:val="both"/>
        <w:rPr>
          <w:rFonts w:hAnsi="Times New Roman" w:cs="Times New Roman"/>
        </w:rPr>
      </w:pPr>
      <w:r w:rsidRPr="00EE3D94">
        <w:rPr>
          <w:rFonts w:hAnsi="Times New Roman" w:cs="Times New Roman"/>
        </w:rPr>
        <w:lastRenderedPageBreak/>
        <w:t xml:space="preserve">En el rubro presupuestal, </w:t>
      </w:r>
      <w:r w:rsidR="00CB1CAB" w:rsidRPr="00767227">
        <w:rPr>
          <w:rFonts w:hAnsi="Times New Roman" w:cs="Times New Roman"/>
        </w:rPr>
        <w:t>s</w:t>
      </w:r>
      <w:r w:rsidR="00CB1CAB">
        <w:rPr>
          <w:rFonts w:hAnsi="Times New Roman" w:cs="Times New Roman"/>
        </w:rPr>
        <w:t>o</w:t>
      </w:r>
      <w:r w:rsidR="00CB1CAB" w:rsidRPr="00767227">
        <w:rPr>
          <w:rFonts w:hAnsi="Times New Roman" w:cs="Times New Roman"/>
        </w:rPr>
        <w:t xml:space="preserve">lo </w:t>
      </w:r>
      <w:r w:rsidR="00DB6171" w:rsidRPr="00767227">
        <w:rPr>
          <w:rFonts w:hAnsi="Times New Roman" w:cs="Times New Roman"/>
        </w:rPr>
        <w:t>Chile, Ecuador y Guatemala obligan a sus legisladores a informar sobre sus gastos</w:t>
      </w:r>
      <w:r w:rsidR="004D4A04" w:rsidRPr="00767227">
        <w:rPr>
          <w:rFonts w:hAnsi="Times New Roman" w:cs="Times New Roman"/>
        </w:rPr>
        <w:t>.</w:t>
      </w:r>
      <w:r w:rsidR="00C654A2" w:rsidRPr="00EE3D94">
        <w:rPr>
          <w:rFonts w:hAnsi="Times New Roman" w:cs="Times New Roman"/>
        </w:rPr>
        <w:t xml:space="preserve"> </w:t>
      </w:r>
      <w:r w:rsidR="00CD07D8" w:rsidRPr="00EE3D94">
        <w:rPr>
          <w:rFonts w:hAnsi="Times New Roman" w:cs="Times New Roman"/>
        </w:rPr>
        <w:t>En Chile y Colombia se publican los nombres de los proveedores de bienes no licitado</w:t>
      </w:r>
      <w:r w:rsidRPr="00EE3D94">
        <w:rPr>
          <w:rFonts w:hAnsi="Times New Roman" w:cs="Times New Roman"/>
        </w:rPr>
        <w:t>s. Chile, Ecuador y Perú brindan</w:t>
      </w:r>
      <w:r w:rsidR="00CD07D8" w:rsidRPr="00EE3D94">
        <w:rPr>
          <w:rFonts w:hAnsi="Times New Roman" w:cs="Times New Roman"/>
        </w:rPr>
        <w:t xml:space="preserve"> informes financieros sobre viajes dentro y fuera del país</w:t>
      </w:r>
      <w:r w:rsidR="00CB1CAB">
        <w:rPr>
          <w:rFonts w:hAnsi="Times New Roman" w:cs="Times New Roman"/>
        </w:rPr>
        <w:t>.</w:t>
      </w:r>
      <w:r w:rsidR="00CB1CAB" w:rsidRPr="00EE3D94">
        <w:rPr>
          <w:rFonts w:hAnsi="Times New Roman" w:cs="Times New Roman"/>
        </w:rPr>
        <w:t xml:space="preserve"> </w:t>
      </w:r>
      <w:r w:rsidR="00CB1CAB">
        <w:rPr>
          <w:rFonts w:hAnsi="Times New Roman" w:cs="Times New Roman"/>
        </w:rPr>
        <w:t>E</w:t>
      </w:r>
      <w:r w:rsidR="00CB1CAB" w:rsidRPr="00EE3D94">
        <w:rPr>
          <w:rFonts w:hAnsi="Times New Roman" w:cs="Times New Roman"/>
        </w:rPr>
        <w:t xml:space="preserve">stos </w:t>
      </w:r>
      <w:r w:rsidR="00CD07D8" w:rsidRPr="00EE3D94">
        <w:rPr>
          <w:rFonts w:hAnsi="Times New Roman" w:cs="Times New Roman"/>
        </w:rPr>
        <w:t>países también publican detallados formatos presupuestales en los que se incluye</w:t>
      </w:r>
      <w:r w:rsidR="00CB1CAB">
        <w:rPr>
          <w:rFonts w:hAnsi="Times New Roman" w:cs="Times New Roman"/>
        </w:rPr>
        <w:t>n</w:t>
      </w:r>
      <w:r w:rsidR="00CD07D8" w:rsidRPr="00EE3D94">
        <w:rPr>
          <w:rFonts w:hAnsi="Times New Roman" w:cs="Times New Roman"/>
        </w:rPr>
        <w:t xml:space="preserve"> </w:t>
      </w:r>
      <w:r w:rsidR="00CB1CAB">
        <w:rPr>
          <w:rFonts w:hAnsi="Times New Roman" w:cs="Times New Roman"/>
        </w:rPr>
        <w:t xml:space="preserve">el </w:t>
      </w:r>
      <w:r w:rsidR="00CD07D8" w:rsidRPr="00EE3D94">
        <w:rPr>
          <w:rFonts w:hAnsi="Times New Roman" w:cs="Times New Roman"/>
        </w:rPr>
        <w:t>gasto de las fracciones, auditorías internas y externas, publicación de los salarios y prestaciones, estructura administrativa, asesorías contratadas por los congresistas</w:t>
      </w:r>
      <w:r w:rsidR="00CB1CAB">
        <w:rPr>
          <w:rFonts w:hAnsi="Times New Roman" w:cs="Times New Roman"/>
        </w:rPr>
        <w:t xml:space="preserve"> y</w:t>
      </w:r>
      <w:r w:rsidR="00CB1CAB" w:rsidRPr="00EE3D94">
        <w:rPr>
          <w:rFonts w:hAnsi="Times New Roman" w:cs="Times New Roman"/>
        </w:rPr>
        <w:t xml:space="preserve"> </w:t>
      </w:r>
      <w:r w:rsidR="00CD07D8" w:rsidRPr="00EE3D94">
        <w:rPr>
          <w:rFonts w:hAnsi="Times New Roman" w:cs="Times New Roman"/>
        </w:rPr>
        <w:t>contrataciones públicas, entre los principales (</w:t>
      </w:r>
      <w:r w:rsidR="0067016D">
        <w:rPr>
          <w:rFonts w:hAnsi="Times New Roman" w:cs="Times New Roman"/>
        </w:rPr>
        <w:t>RLTL</w:t>
      </w:r>
      <w:r w:rsidR="00CD07D8" w:rsidRPr="00EE3D94">
        <w:rPr>
          <w:rFonts w:hAnsi="Times New Roman" w:cs="Times New Roman"/>
        </w:rPr>
        <w:t>, 2014). Al correlacionar el índi</w:t>
      </w:r>
      <w:r w:rsidR="007919D7" w:rsidRPr="00EE3D94">
        <w:rPr>
          <w:rFonts w:hAnsi="Times New Roman" w:cs="Times New Roman"/>
        </w:rPr>
        <w:t>ce de transparencia de recursos a los congresos</w:t>
      </w:r>
      <w:r w:rsidR="00CD07D8" w:rsidRPr="00EE3D94">
        <w:rPr>
          <w:rFonts w:hAnsi="Times New Roman" w:cs="Times New Roman"/>
        </w:rPr>
        <w:t xml:space="preserve"> con las asignaciones presupuestales de algunos países de la región </w:t>
      </w:r>
      <w:r w:rsidR="00263893" w:rsidRPr="00EE3D94">
        <w:rPr>
          <w:rFonts w:hAnsi="Times New Roman" w:cs="Times New Roman"/>
        </w:rPr>
        <w:t>-</w:t>
      </w:r>
      <w:r w:rsidR="00A75213" w:rsidRPr="00EE3D94">
        <w:rPr>
          <w:rFonts w:hAnsi="Times New Roman" w:cs="Times New Roman"/>
        </w:rPr>
        <w:t xml:space="preserve">como se muestra en </w:t>
      </w:r>
      <w:r w:rsidR="00CB1CAB">
        <w:rPr>
          <w:rFonts w:hAnsi="Times New Roman" w:cs="Times New Roman"/>
        </w:rPr>
        <w:t xml:space="preserve">la tabla </w:t>
      </w:r>
      <w:r w:rsidR="00A75213" w:rsidRPr="00EE3D94">
        <w:rPr>
          <w:rFonts w:hAnsi="Times New Roman" w:cs="Times New Roman"/>
        </w:rPr>
        <w:t>5</w:t>
      </w:r>
      <w:r w:rsidR="00263893" w:rsidRPr="00EE3D94">
        <w:rPr>
          <w:rFonts w:hAnsi="Times New Roman" w:cs="Times New Roman"/>
        </w:rPr>
        <w:t>-</w:t>
      </w:r>
      <w:r w:rsidR="00CD07D8" w:rsidRPr="00EE3D94">
        <w:rPr>
          <w:rFonts w:hAnsi="Times New Roman" w:cs="Times New Roman"/>
        </w:rPr>
        <w:t>, se debe destacar que</w:t>
      </w:r>
      <w:r w:rsidR="00CB1CAB">
        <w:rPr>
          <w:rFonts w:hAnsi="Times New Roman" w:cs="Times New Roman"/>
        </w:rPr>
        <w:t>,</w:t>
      </w:r>
      <w:r w:rsidR="00CD07D8" w:rsidRPr="00EE3D94">
        <w:rPr>
          <w:rFonts w:hAnsi="Times New Roman" w:cs="Times New Roman"/>
        </w:rPr>
        <w:t xml:space="preserve"> </w:t>
      </w:r>
      <w:r w:rsidR="00CB1CAB">
        <w:rPr>
          <w:rFonts w:hAnsi="Times New Roman" w:cs="Times New Roman"/>
        </w:rPr>
        <w:t xml:space="preserve">en </w:t>
      </w:r>
      <w:r w:rsidR="00CD07D8" w:rsidRPr="00EE3D94">
        <w:rPr>
          <w:rFonts w:hAnsi="Times New Roman" w:cs="Times New Roman"/>
        </w:rPr>
        <w:t>aquellos países cuyos montos de asignación presupuestal son altos, el índice de transparencia presupuestal es bajo</w:t>
      </w:r>
      <w:r w:rsidR="00CB1CAB">
        <w:rPr>
          <w:rFonts w:hAnsi="Times New Roman" w:cs="Times New Roman"/>
        </w:rPr>
        <w:t>.</w:t>
      </w:r>
      <w:r w:rsidR="00CB1CAB" w:rsidRPr="00EE3D94">
        <w:rPr>
          <w:rFonts w:hAnsi="Times New Roman" w:cs="Times New Roman"/>
        </w:rPr>
        <w:t xml:space="preserve"> </w:t>
      </w:r>
      <w:r w:rsidR="00CB1CAB">
        <w:rPr>
          <w:rFonts w:hAnsi="Times New Roman" w:cs="Times New Roman"/>
        </w:rPr>
        <w:t>T</w:t>
      </w:r>
      <w:r w:rsidR="00CB1CAB" w:rsidRPr="00EE3D94">
        <w:rPr>
          <w:rFonts w:hAnsi="Times New Roman" w:cs="Times New Roman"/>
        </w:rPr>
        <w:t xml:space="preserve">al </w:t>
      </w:r>
      <w:r w:rsidR="00CD07D8" w:rsidRPr="00EE3D94">
        <w:rPr>
          <w:rFonts w:hAnsi="Times New Roman" w:cs="Times New Roman"/>
        </w:rPr>
        <w:t>es el caso de Argentina, México y Colombia</w:t>
      </w:r>
      <w:r w:rsidR="00CB1CAB">
        <w:rPr>
          <w:rFonts w:hAnsi="Times New Roman" w:cs="Times New Roman"/>
        </w:rPr>
        <w:t>,</w:t>
      </w:r>
      <w:r w:rsidR="00CD07D8" w:rsidRPr="00EE3D94">
        <w:rPr>
          <w:rFonts w:hAnsi="Times New Roman" w:cs="Times New Roman"/>
        </w:rPr>
        <w:t xml:space="preserve"> como los más rezagados en </w:t>
      </w:r>
      <w:r w:rsidR="004476D8" w:rsidRPr="00EE3D94">
        <w:rPr>
          <w:rFonts w:hAnsi="Times New Roman" w:cs="Times New Roman"/>
        </w:rPr>
        <w:t xml:space="preserve">esta </w:t>
      </w:r>
      <w:r w:rsidR="00CD07D8" w:rsidRPr="00EE3D94">
        <w:rPr>
          <w:rFonts w:hAnsi="Times New Roman" w:cs="Times New Roman"/>
        </w:rPr>
        <w:t xml:space="preserve">materia. </w:t>
      </w:r>
      <w:r w:rsidR="00CB1CAB">
        <w:rPr>
          <w:rFonts w:hAnsi="Times New Roman" w:cs="Times New Roman"/>
        </w:rPr>
        <w:t>El c</w:t>
      </w:r>
      <w:r w:rsidR="00CB1CAB" w:rsidRPr="00767227">
        <w:rPr>
          <w:rFonts w:hAnsi="Times New Roman" w:cs="Times New Roman"/>
        </w:rPr>
        <w:t xml:space="preserve">aso </w:t>
      </w:r>
      <w:r w:rsidR="00CD07D8" w:rsidRPr="00767227">
        <w:rPr>
          <w:rFonts w:hAnsi="Times New Roman" w:cs="Times New Roman"/>
        </w:rPr>
        <w:t>contrario es Chile</w:t>
      </w:r>
      <w:r w:rsidR="00CB1CAB">
        <w:rPr>
          <w:rFonts w:hAnsi="Times New Roman" w:cs="Times New Roman"/>
        </w:rPr>
        <w:t>,</w:t>
      </w:r>
      <w:r w:rsidRPr="00767227">
        <w:rPr>
          <w:rFonts w:hAnsi="Times New Roman" w:cs="Times New Roman"/>
        </w:rPr>
        <w:t xml:space="preserve"> </w:t>
      </w:r>
      <w:r w:rsidR="00CD07D8" w:rsidRPr="00767227">
        <w:rPr>
          <w:rFonts w:hAnsi="Times New Roman" w:cs="Times New Roman"/>
        </w:rPr>
        <w:t>con recursos más limitados y altos niveles de transparencia</w:t>
      </w:r>
      <w:r w:rsidR="008A6B9F" w:rsidRPr="00767227">
        <w:rPr>
          <w:rFonts w:hAnsi="Times New Roman" w:cs="Times New Roman"/>
        </w:rPr>
        <w:t xml:space="preserve"> presupuestal</w:t>
      </w:r>
      <w:r w:rsidR="00CB1CAB">
        <w:rPr>
          <w:rFonts w:hAnsi="Times New Roman" w:cs="Times New Roman"/>
        </w:rPr>
        <w:t>,</w:t>
      </w:r>
      <w:r w:rsidR="008A6B9F" w:rsidRPr="00767227">
        <w:rPr>
          <w:rFonts w:hAnsi="Times New Roman" w:cs="Times New Roman"/>
        </w:rPr>
        <w:t xml:space="preserve"> sumándose al índice de 2016</w:t>
      </w:r>
      <w:r w:rsidR="00CB1CAB">
        <w:rPr>
          <w:rFonts w:hAnsi="Times New Roman" w:cs="Times New Roman"/>
        </w:rPr>
        <w:t>.</w:t>
      </w:r>
      <w:r w:rsidR="00CB1CAB" w:rsidRPr="00EE3D94">
        <w:rPr>
          <w:rFonts w:hAnsi="Times New Roman" w:cs="Times New Roman"/>
        </w:rPr>
        <w:t xml:space="preserve"> </w:t>
      </w:r>
      <w:r w:rsidR="00CB1CAB">
        <w:rPr>
          <w:rFonts w:hAnsi="Times New Roman" w:cs="Times New Roman"/>
        </w:rPr>
        <w:t>C</w:t>
      </w:r>
      <w:r w:rsidR="00CB1CAB" w:rsidRPr="00EE3D94">
        <w:rPr>
          <w:rFonts w:hAnsi="Times New Roman" w:cs="Times New Roman"/>
        </w:rPr>
        <w:t xml:space="preserve">abe </w:t>
      </w:r>
      <w:r w:rsidR="008A6B9F" w:rsidRPr="00EE3D94">
        <w:rPr>
          <w:rFonts w:hAnsi="Times New Roman" w:cs="Times New Roman"/>
        </w:rPr>
        <w:t xml:space="preserve">destacar el caso de Costa Rica, con el presupuesto más bajo de los registrados por los informes internacionales y que alcanza niveles de transparencia presupuestal muy elevados </w:t>
      </w:r>
      <w:r w:rsidR="00CB1CAB">
        <w:rPr>
          <w:rFonts w:hAnsi="Times New Roman" w:cs="Times New Roman"/>
        </w:rPr>
        <w:t>(</w:t>
      </w:r>
      <w:r w:rsidR="008A6B9F" w:rsidRPr="00EE3D94">
        <w:rPr>
          <w:rFonts w:hAnsi="Times New Roman" w:cs="Times New Roman"/>
        </w:rPr>
        <w:t xml:space="preserve">por encima del </w:t>
      </w:r>
      <w:r w:rsidRPr="00EE3D94">
        <w:rPr>
          <w:rFonts w:hAnsi="Times New Roman" w:cs="Times New Roman"/>
        </w:rPr>
        <w:t>.</w:t>
      </w:r>
      <w:r w:rsidR="008A6B9F" w:rsidRPr="00EE3D94">
        <w:rPr>
          <w:rFonts w:hAnsi="Times New Roman" w:cs="Times New Roman"/>
        </w:rPr>
        <w:t xml:space="preserve">70 </w:t>
      </w:r>
      <w:r w:rsidR="00CB1CAB">
        <w:rPr>
          <w:rFonts w:hAnsi="Times New Roman" w:cs="Times New Roman"/>
        </w:rPr>
        <w:t>%)</w:t>
      </w:r>
      <w:r w:rsidR="008A6B9F" w:rsidRPr="00EE3D94">
        <w:rPr>
          <w:rFonts w:hAnsi="Times New Roman" w:cs="Times New Roman"/>
        </w:rPr>
        <w:t>.</w:t>
      </w:r>
    </w:p>
    <w:p w14:paraId="11E05344" w14:textId="5A8804C0" w:rsidR="005910D6" w:rsidRPr="00EE3D94" w:rsidRDefault="00806E94"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Por otro lado, la evaluación no </w:t>
      </w:r>
      <w:r w:rsidR="004D37D6" w:rsidRPr="00EE3D94">
        <w:rPr>
          <w:rFonts w:hAnsi="Times New Roman" w:cs="Times New Roman"/>
        </w:rPr>
        <w:t xml:space="preserve">solo se ocupa de la </w:t>
      </w:r>
      <w:r w:rsidR="000D1C5D" w:rsidRPr="00EE3D94">
        <w:rPr>
          <w:rFonts w:hAnsi="Times New Roman" w:cs="Times New Roman"/>
        </w:rPr>
        <w:t>transparencia en el manejo de recursos</w:t>
      </w:r>
      <w:r w:rsidR="00CB1CAB">
        <w:rPr>
          <w:rFonts w:hAnsi="Times New Roman" w:cs="Times New Roman"/>
        </w:rPr>
        <w:t>.</w:t>
      </w:r>
      <w:r w:rsidR="00CB1CAB" w:rsidRPr="00EE3D94">
        <w:rPr>
          <w:rFonts w:hAnsi="Times New Roman" w:cs="Times New Roman"/>
        </w:rPr>
        <w:t xml:space="preserve"> </w:t>
      </w:r>
      <w:r w:rsidR="00CB1CAB">
        <w:rPr>
          <w:rFonts w:hAnsi="Times New Roman" w:cs="Times New Roman"/>
        </w:rPr>
        <w:t>L</w:t>
      </w:r>
      <w:r w:rsidR="00CB1CAB" w:rsidRPr="00EE3D94">
        <w:rPr>
          <w:rFonts w:hAnsi="Times New Roman" w:cs="Times New Roman"/>
        </w:rPr>
        <w:t xml:space="preserve">a </w:t>
      </w:r>
      <w:r w:rsidR="000D1C5D" w:rsidRPr="00EE3D94">
        <w:rPr>
          <w:rFonts w:hAnsi="Times New Roman" w:cs="Times New Roman"/>
        </w:rPr>
        <w:t>existencia de normativa</w:t>
      </w:r>
      <w:r w:rsidR="00CB1CAB">
        <w:rPr>
          <w:rFonts w:hAnsi="Times New Roman" w:cs="Times New Roman"/>
        </w:rPr>
        <w:t>s</w:t>
      </w:r>
      <w:r w:rsidR="000D1C5D" w:rsidRPr="00EE3D94">
        <w:rPr>
          <w:rFonts w:hAnsi="Times New Roman" w:cs="Times New Roman"/>
        </w:rPr>
        <w:t xml:space="preserve"> que regule</w:t>
      </w:r>
      <w:r w:rsidR="00CB1CAB">
        <w:rPr>
          <w:rFonts w:hAnsi="Times New Roman" w:cs="Times New Roman"/>
        </w:rPr>
        <w:t>n</w:t>
      </w:r>
      <w:r w:rsidR="000D1C5D" w:rsidRPr="00EE3D94">
        <w:rPr>
          <w:rFonts w:hAnsi="Times New Roman" w:cs="Times New Roman"/>
        </w:rPr>
        <w:t xml:space="preserve"> los aspectos básicos de transparencia</w:t>
      </w:r>
      <w:r w:rsidR="001276DB" w:rsidRPr="00EE3D94">
        <w:rPr>
          <w:rFonts w:hAnsi="Times New Roman" w:cs="Times New Roman"/>
        </w:rPr>
        <w:t xml:space="preserve">, la labor del </w:t>
      </w:r>
      <w:r w:rsidR="000A265C">
        <w:rPr>
          <w:rFonts w:hAnsi="Times New Roman" w:cs="Times New Roman"/>
        </w:rPr>
        <w:t>C</w:t>
      </w:r>
      <w:r w:rsidR="000A265C" w:rsidRPr="00EE3D94">
        <w:rPr>
          <w:rFonts w:hAnsi="Times New Roman" w:cs="Times New Roman"/>
        </w:rPr>
        <w:t xml:space="preserve">ongreso </w:t>
      </w:r>
      <w:r w:rsidR="000D1C5D" w:rsidRPr="00EE3D94">
        <w:rPr>
          <w:rFonts w:hAnsi="Times New Roman" w:cs="Times New Roman"/>
        </w:rPr>
        <w:t xml:space="preserve">y </w:t>
      </w:r>
      <w:r w:rsidR="001276DB" w:rsidRPr="00EE3D94">
        <w:rPr>
          <w:rFonts w:hAnsi="Times New Roman" w:cs="Times New Roman"/>
        </w:rPr>
        <w:t xml:space="preserve">la </w:t>
      </w:r>
      <w:r w:rsidR="000D1C5D" w:rsidRPr="00EE3D94">
        <w:rPr>
          <w:rFonts w:hAnsi="Times New Roman" w:cs="Times New Roman"/>
        </w:rPr>
        <w:t xml:space="preserve">vinculación con la ciudadanía </w:t>
      </w:r>
      <w:r w:rsidR="00CB1CAB">
        <w:rPr>
          <w:rFonts w:hAnsi="Times New Roman" w:cs="Times New Roman"/>
        </w:rPr>
        <w:t>es un</w:t>
      </w:r>
      <w:r w:rsidR="00CB1CAB" w:rsidRPr="00EE3D94">
        <w:rPr>
          <w:rFonts w:hAnsi="Times New Roman" w:cs="Times New Roman"/>
        </w:rPr>
        <w:t xml:space="preserve"> </w:t>
      </w:r>
      <w:r w:rsidR="00263893" w:rsidRPr="00EE3D94">
        <w:rPr>
          <w:rFonts w:hAnsi="Times New Roman" w:cs="Times New Roman"/>
        </w:rPr>
        <w:t>indicador que compone la evaluación legislativa</w:t>
      </w:r>
      <w:r w:rsidR="000D1C5D" w:rsidRPr="00EE3D94">
        <w:rPr>
          <w:rFonts w:hAnsi="Times New Roman" w:cs="Times New Roman"/>
        </w:rPr>
        <w:t xml:space="preserve">. </w:t>
      </w:r>
    </w:p>
    <w:p w14:paraId="5F80CDCE" w14:textId="4C8EDE69" w:rsidR="009E76B5" w:rsidRPr="00EE3D94" w:rsidRDefault="005910D6" w:rsidP="006735A7">
      <w:pPr>
        <w:pStyle w:val="Cuerpo"/>
        <w:spacing w:before="120" w:after="120" w:line="360" w:lineRule="auto"/>
        <w:ind w:firstLine="708"/>
        <w:jc w:val="both"/>
        <w:rPr>
          <w:rFonts w:hAnsi="Times New Roman" w:cs="Times New Roman"/>
        </w:rPr>
      </w:pPr>
      <w:r w:rsidRPr="00EE3D94">
        <w:rPr>
          <w:rFonts w:hAnsi="Times New Roman" w:cs="Times New Roman"/>
        </w:rPr>
        <w:t xml:space="preserve">En la </w:t>
      </w:r>
      <w:r w:rsidR="00640FA2" w:rsidRPr="00EE3D94">
        <w:rPr>
          <w:rFonts w:hAnsi="Times New Roman" w:cs="Times New Roman"/>
        </w:rPr>
        <w:t xml:space="preserve">dimensión normativa </w:t>
      </w:r>
      <w:r w:rsidR="00506C73" w:rsidRPr="00EE3D94">
        <w:rPr>
          <w:rFonts w:hAnsi="Times New Roman" w:cs="Times New Roman"/>
        </w:rPr>
        <w:t>que mide la existencia de una estructura reglamentaria, l</w:t>
      </w:r>
      <w:r w:rsidR="00C654A2" w:rsidRPr="00EE3D94">
        <w:rPr>
          <w:rFonts w:hAnsi="Times New Roman" w:cs="Times New Roman"/>
        </w:rPr>
        <w:t xml:space="preserve">os países que más destacan son </w:t>
      </w:r>
      <w:r w:rsidR="00BD0F61" w:rsidRPr="00767227">
        <w:rPr>
          <w:rFonts w:hAnsi="Times New Roman" w:cs="Times New Roman"/>
        </w:rPr>
        <w:t>Mé</w:t>
      </w:r>
      <w:r w:rsidR="00EE0E76" w:rsidRPr="00767227">
        <w:rPr>
          <w:rFonts w:hAnsi="Times New Roman" w:cs="Times New Roman"/>
        </w:rPr>
        <w:t xml:space="preserve">xico, Ecuador </w:t>
      </w:r>
      <w:r w:rsidR="004476D8" w:rsidRPr="00767227">
        <w:rPr>
          <w:rFonts w:hAnsi="Times New Roman" w:cs="Times New Roman"/>
        </w:rPr>
        <w:t>y Chile</w:t>
      </w:r>
      <w:r w:rsidR="00CB1CAB">
        <w:rPr>
          <w:rFonts w:hAnsi="Times New Roman" w:cs="Times New Roman"/>
        </w:rPr>
        <w:t>.</w:t>
      </w:r>
      <w:r w:rsidR="00CB1CAB" w:rsidRPr="00767227">
        <w:rPr>
          <w:rFonts w:hAnsi="Times New Roman" w:cs="Times New Roman"/>
        </w:rPr>
        <w:t xml:space="preserve"> </w:t>
      </w:r>
      <w:r w:rsidR="00CB1CAB">
        <w:rPr>
          <w:rFonts w:hAnsi="Times New Roman" w:cs="Times New Roman"/>
        </w:rPr>
        <w:t>C</w:t>
      </w:r>
      <w:r w:rsidR="00CB1CAB" w:rsidRPr="00767227">
        <w:rPr>
          <w:rFonts w:hAnsi="Times New Roman" w:cs="Times New Roman"/>
        </w:rPr>
        <w:t>ontrariamente</w:t>
      </w:r>
      <w:r w:rsidR="00C654A2" w:rsidRPr="00767227">
        <w:rPr>
          <w:rFonts w:hAnsi="Times New Roman" w:cs="Times New Roman"/>
        </w:rPr>
        <w:t>, Venezuela</w:t>
      </w:r>
      <w:r w:rsidR="00EE0E76" w:rsidRPr="00767227">
        <w:rPr>
          <w:rFonts w:hAnsi="Times New Roman" w:cs="Times New Roman"/>
        </w:rPr>
        <w:t>, República Dominicana, Paraguay, Panamá</w:t>
      </w:r>
      <w:r w:rsidR="00C654A2" w:rsidRPr="00767227">
        <w:rPr>
          <w:rFonts w:hAnsi="Times New Roman" w:cs="Times New Roman"/>
        </w:rPr>
        <w:t xml:space="preserve"> y</w:t>
      </w:r>
      <w:r w:rsidR="00EE0E76" w:rsidRPr="00767227">
        <w:rPr>
          <w:rFonts w:hAnsi="Times New Roman" w:cs="Times New Roman"/>
        </w:rPr>
        <w:t xml:space="preserve"> Bolivia </w:t>
      </w:r>
      <w:r w:rsidR="00C654A2" w:rsidRPr="00767227">
        <w:rPr>
          <w:rFonts w:hAnsi="Times New Roman" w:cs="Times New Roman"/>
        </w:rPr>
        <w:t xml:space="preserve">son los </w:t>
      </w:r>
      <w:r w:rsidR="00EE0E76" w:rsidRPr="00767227">
        <w:rPr>
          <w:rFonts w:hAnsi="Times New Roman" w:cs="Times New Roman"/>
        </w:rPr>
        <w:t xml:space="preserve">países </w:t>
      </w:r>
      <w:r w:rsidR="00457517" w:rsidRPr="00767227">
        <w:rPr>
          <w:rFonts w:hAnsi="Times New Roman" w:cs="Times New Roman"/>
        </w:rPr>
        <w:t>con la evaluación más baja en la medida en la que sus estructuras normativas carecen o son ambiguas</w:t>
      </w:r>
      <w:r w:rsidR="00EE0E76" w:rsidRPr="00767227">
        <w:rPr>
          <w:rFonts w:hAnsi="Times New Roman" w:cs="Times New Roman"/>
        </w:rPr>
        <w:t xml:space="preserve"> en materia de transparencia,</w:t>
      </w:r>
      <w:r w:rsidR="00EE0E76" w:rsidRPr="00EE3D94">
        <w:rPr>
          <w:rFonts w:hAnsi="Times New Roman" w:cs="Times New Roman"/>
        </w:rPr>
        <w:t xml:space="preserve"> acceso a la informació</w:t>
      </w:r>
      <w:r w:rsidR="00457517" w:rsidRPr="00EE3D94">
        <w:rPr>
          <w:rFonts w:hAnsi="Times New Roman" w:cs="Times New Roman"/>
        </w:rPr>
        <w:t>n o procedimientos legales que institucionalicen la práctica parlamentaria y la rendición de cuentas.</w:t>
      </w:r>
      <w:r w:rsidR="00EE0E76" w:rsidRPr="00EE3D94">
        <w:rPr>
          <w:rFonts w:hAnsi="Times New Roman" w:cs="Times New Roman"/>
        </w:rPr>
        <w:t xml:space="preserve"> </w:t>
      </w:r>
      <w:r w:rsidR="00CB1CAB">
        <w:rPr>
          <w:rFonts w:hAnsi="Times New Roman" w:cs="Times New Roman"/>
        </w:rPr>
        <w:t>En l</w:t>
      </w:r>
      <w:r w:rsidR="00CB1CAB" w:rsidRPr="00EE3D94">
        <w:rPr>
          <w:rFonts w:hAnsi="Times New Roman" w:cs="Times New Roman"/>
        </w:rPr>
        <w:t xml:space="preserve">os </w:t>
      </w:r>
      <w:r w:rsidR="009E76B5" w:rsidRPr="00EE3D94">
        <w:rPr>
          <w:rFonts w:hAnsi="Times New Roman" w:cs="Times New Roman"/>
        </w:rPr>
        <w:t>países más destacados</w:t>
      </w:r>
      <w:r w:rsidR="00CB1CAB">
        <w:rPr>
          <w:rFonts w:hAnsi="Times New Roman" w:cs="Times New Roman"/>
        </w:rPr>
        <w:t>,</w:t>
      </w:r>
      <w:r w:rsidR="009E76B5" w:rsidRPr="00EE3D94">
        <w:rPr>
          <w:rFonts w:hAnsi="Times New Roman" w:cs="Times New Roman"/>
        </w:rPr>
        <w:t xml:space="preserve"> como México y Ecuador, se observaron avances en la reglamentación dada la aprobación de nuevas leyes en materia de transparencia</w:t>
      </w:r>
      <w:r w:rsidR="00CB1CAB">
        <w:rPr>
          <w:rFonts w:hAnsi="Times New Roman" w:cs="Times New Roman"/>
        </w:rPr>
        <w:t>.</w:t>
      </w:r>
      <w:r w:rsidR="00CB1CAB" w:rsidRPr="00EE3D94">
        <w:rPr>
          <w:rFonts w:hAnsi="Times New Roman" w:cs="Times New Roman"/>
        </w:rPr>
        <w:t xml:space="preserve"> </w:t>
      </w:r>
      <w:r w:rsidR="00CB1CAB">
        <w:rPr>
          <w:rFonts w:hAnsi="Times New Roman" w:cs="Times New Roman"/>
        </w:rPr>
        <w:t>S</w:t>
      </w:r>
      <w:r w:rsidR="00CB1CAB" w:rsidRPr="00EE3D94">
        <w:rPr>
          <w:rFonts w:hAnsi="Times New Roman" w:cs="Times New Roman"/>
        </w:rPr>
        <w:t xml:space="preserve">in </w:t>
      </w:r>
      <w:r w:rsidR="009E76B5" w:rsidRPr="00EE3D94">
        <w:rPr>
          <w:rFonts w:hAnsi="Times New Roman" w:cs="Times New Roman"/>
        </w:rPr>
        <w:t xml:space="preserve">embargo, esto no ha significado </w:t>
      </w:r>
      <w:r w:rsidR="00EE0E76" w:rsidRPr="00EE3D94">
        <w:rPr>
          <w:rFonts w:hAnsi="Times New Roman" w:cs="Times New Roman"/>
        </w:rPr>
        <w:t>que</w:t>
      </w:r>
      <w:r w:rsidR="000D1C5D" w:rsidRPr="00EE3D94">
        <w:rPr>
          <w:rFonts w:hAnsi="Times New Roman" w:cs="Times New Roman"/>
        </w:rPr>
        <w:t xml:space="preserve"> </w:t>
      </w:r>
      <w:r w:rsidR="009E76B5" w:rsidRPr="00EE3D94">
        <w:rPr>
          <w:rFonts w:hAnsi="Times New Roman" w:cs="Times New Roman"/>
        </w:rPr>
        <w:t xml:space="preserve">la norma </w:t>
      </w:r>
      <w:r w:rsidR="009E76B5" w:rsidRPr="00EE3D94">
        <w:rPr>
          <w:rFonts w:hAnsi="Times New Roman" w:cs="Times New Roman"/>
        </w:rPr>
        <w:lastRenderedPageBreak/>
        <w:t xml:space="preserve">se lleve a la práctica. La evaluación de estos dos países en el ámbito presupuestal o labor del </w:t>
      </w:r>
      <w:r w:rsidR="000A265C">
        <w:rPr>
          <w:rFonts w:hAnsi="Times New Roman" w:cs="Times New Roman"/>
        </w:rPr>
        <w:t>C</w:t>
      </w:r>
      <w:r w:rsidR="000A265C" w:rsidRPr="00EE3D94">
        <w:rPr>
          <w:rFonts w:hAnsi="Times New Roman" w:cs="Times New Roman"/>
        </w:rPr>
        <w:t xml:space="preserve">ongreso </w:t>
      </w:r>
      <w:r w:rsidR="009E76B5" w:rsidRPr="00EE3D94">
        <w:rPr>
          <w:rFonts w:hAnsi="Times New Roman" w:cs="Times New Roman"/>
        </w:rPr>
        <w:t>son bastante limitados.</w:t>
      </w:r>
    </w:p>
    <w:p w14:paraId="20490582" w14:textId="7437C0C2" w:rsidR="000332B6" w:rsidRDefault="00A75213" w:rsidP="006735A7">
      <w:pPr>
        <w:pStyle w:val="Cuerpo"/>
        <w:spacing w:before="120" w:after="120" w:line="360" w:lineRule="auto"/>
        <w:ind w:firstLine="708"/>
        <w:jc w:val="both"/>
        <w:rPr>
          <w:rFonts w:hAnsi="Times New Roman" w:cs="Times New Roman"/>
        </w:rPr>
      </w:pPr>
      <w:r w:rsidRPr="00EE3D94">
        <w:rPr>
          <w:rFonts w:hAnsi="Times New Roman" w:cs="Times New Roman"/>
        </w:rPr>
        <w:t>Cuando</w:t>
      </w:r>
      <w:r w:rsidR="000D1C5D" w:rsidRPr="00EE3D94">
        <w:rPr>
          <w:rFonts w:hAnsi="Times New Roman" w:cs="Times New Roman"/>
        </w:rPr>
        <w:t xml:space="preserve">, se valora la </w:t>
      </w:r>
      <w:r w:rsidR="003A251B" w:rsidRPr="00EE3D94">
        <w:rPr>
          <w:rFonts w:hAnsi="Times New Roman" w:cs="Times New Roman"/>
        </w:rPr>
        <w:t xml:space="preserve">labor del </w:t>
      </w:r>
      <w:r w:rsidR="00CB1CAB">
        <w:rPr>
          <w:rFonts w:hAnsi="Times New Roman" w:cs="Times New Roman"/>
        </w:rPr>
        <w:t>C</w:t>
      </w:r>
      <w:r w:rsidR="00CB1CAB" w:rsidRPr="00EE3D94">
        <w:rPr>
          <w:rFonts w:hAnsi="Times New Roman" w:cs="Times New Roman"/>
        </w:rPr>
        <w:t>ongreso</w:t>
      </w:r>
      <w:r w:rsidR="003A251B" w:rsidRPr="00EE3D94">
        <w:rPr>
          <w:rFonts w:hAnsi="Times New Roman" w:cs="Times New Roman"/>
        </w:rPr>
        <w:t xml:space="preserve"> que refiere al trabajo en comisiones, asesoría interna y externa, el peso de los grupos parlamentarios, etcétera, </w:t>
      </w:r>
      <w:r w:rsidR="000D1C5D" w:rsidRPr="00EE3D94">
        <w:rPr>
          <w:rFonts w:hAnsi="Times New Roman" w:cs="Times New Roman"/>
        </w:rPr>
        <w:t xml:space="preserve"> </w:t>
      </w:r>
      <w:r w:rsidR="00CB1CAB" w:rsidRPr="00EE3D94">
        <w:rPr>
          <w:rFonts w:hAnsi="Times New Roman" w:cs="Times New Roman"/>
        </w:rPr>
        <w:t>destaca</w:t>
      </w:r>
      <w:r w:rsidR="00CB1CAB">
        <w:rPr>
          <w:rFonts w:hAnsi="Times New Roman" w:cs="Times New Roman"/>
        </w:rPr>
        <w:t>n</w:t>
      </w:r>
      <w:r w:rsidR="000D1C5D" w:rsidRPr="00EE3D94">
        <w:rPr>
          <w:rFonts w:hAnsi="Times New Roman" w:cs="Times New Roman"/>
        </w:rPr>
        <w:t xml:space="preserve"> Argentina, Perú y Guatemala</w:t>
      </w:r>
      <w:r w:rsidR="003A251B" w:rsidRPr="00EE3D94">
        <w:rPr>
          <w:rFonts w:hAnsi="Times New Roman" w:cs="Times New Roman"/>
        </w:rPr>
        <w:t>. Finalmente, la participación ciudadana es la d</w:t>
      </w:r>
      <w:r w:rsidRPr="00EE3D94">
        <w:rPr>
          <w:rFonts w:hAnsi="Times New Roman" w:cs="Times New Roman"/>
        </w:rPr>
        <w:t>imensión con mejores resultados. En</w:t>
      </w:r>
      <w:r w:rsidR="00EE21AE" w:rsidRPr="00EE3D94">
        <w:rPr>
          <w:rFonts w:hAnsi="Times New Roman" w:cs="Times New Roman"/>
        </w:rPr>
        <w:t xml:space="preserve"> esta categoría destacan los mecanismos legislativos de atención, petición y respuesta ciudadana, además de la capacidad tecnológica que facilit</w:t>
      </w:r>
      <w:r w:rsidR="000D1C5D" w:rsidRPr="00EE3D94">
        <w:rPr>
          <w:rFonts w:hAnsi="Times New Roman" w:cs="Times New Roman"/>
        </w:rPr>
        <w:t>a</w:t>
      </w:r>
      <w:r w:rsidR="00DD6D63" w:rsidRPr="00EE3D94">
        <w:rPr>
          <w:rFonts w:hAnsi="Times New Roman" w:cs="Times New Roman"/>
        </w:rPr>
        <w:t xml:space="preserve"> el</w:t>
      </w:r>
      <w:r w:rsidR="00EE21AE" w:rsidRPr="00EE3D94">
        <w:rPr>
          <w:rFonts w:hAnsi="Times New Roman" w:cs="Times New Roman"/>
        </w:rPr>
        <w:t xml:space="preserve"> acceso ciudadano a la información legislativa. En esta materia </w:t>
      </w:r>
      <w:r w:rsidR="003A251B" w:rsidRPr="00EE3D94">
        <w:rPr>
          <w:rFonts w:hAnsi="Times New Roman" w:cs="Times New Roman"/>
        </w:rPr>
        <w:t>sobresalen Chile, Perú y Ecuador</w:t>
      </w:r>
      <w:r w:rsidR="00CB1CAB">
        <w:rPr>
          <w:rFonts w:hAnsi="Times New Roman" w:cs="Times New Roman"/>
        </w:rPr>
        <w:t>,</w:t>
      </w:r>
      <w:r w:rsidR="00CB1CAB" w:rsidRPr="00EE3D94">
        <w:rPr>
          <w:rFonts w:hAnsi="Times New Roman" w:cs="Times New Roman"/>
        </w:rPr>
        <w:t xml:space="preserve"> </w:t>
      </w:r>
      <w:r w:rsidR="00EE21AE" w:rsidRPr="00EE3D94">
        <w:rPr>
          <w:rFonts w:hAnsi="Times New Roman" w:cs="Times New Roman"/>
        </w:rPr>
        <w:t>mientras que los</w:t>
      </w:r>
      <w:r w:rsidR="003A251B" w:rsidRPr="00EE3D94">
        <w:rPr>
          <w:rFonts w:hAnsi="Times New Roman" w:cs="Times New Roman"/>
        </w:rPr>
        <w:t xml:space="preserve"> países más reticentes a la vinculación ciudadana con la representación parlamentaria son Bolivia, Argentina y México</w:t>
      </w:r>
      <w:r w:rsidR="00C654A2" w:rsidRPr="00EE3D94">
        <w:rPr>
          <w:rFonts w:hAnsi="Times New Roman" w:cs="Times New Roman"/>
        </w:rPr>
        <w:t>.</w:t>
      </w:r>
    </w:p>
    <w:p w14:paraId="4FCAD6B5" w14:textId="375AEB63" w:rsidR="00A75213" w:rsidRPr="006735A7" w:rsidRDefault="00CB1CAB" w:rsidP="003267AC">
      <w:pPr>
        <w:pStyle w:val="Cuerpo"/>
        <w:spacing w:before="120" w:after="120" w:line="360" w:lineRule="auto"/>
        <w:jc w:val="center"/>
        <w:rPr>
          <w:rFonts w:hAnsi="Times New Roman" w:cs="Times New Roman"/>
          <w:b/>
        </w:rPr>
      </w:pPr>
      <w:r>
        <w:rPr>
          <w:rFonts w:hAnsi="Times New Roman" w:cs="Times New Roman"/>
          <w:b/>
        </w:rPr>
        <w:t>Gráfica 3</w:t>
      </w:r>
      <w:r w:rsidR="003267AC">
        <w:rPr>
          <w:rFonts w:hAnsi="Times New Roman" w:cs="Times New Roman"/>
          <w:b/>
        </w:rPr>
        <w:t xml:space="preserve">. </w:t>
      </w:r>
      <w:r w:rsidRPr="003267AC">
        <w:rPr>
          <w:rFonts w:hAnsi="Times New Roman" w:cs="Times New Roman"/>
        </w:rPr>
        <w:t>Índice de transparencia por indicador (promedio)</w:t>
      </w:r>
    </w:p>
    <w:p w14:paraId="3E0DBBE2" w14:textId="1FC1F049" w:rsidR="00163C87" w:rsidRPr="00EE3D94" w:rsidRDefault="00E840CA" w:rsidP="00163C87">
      <w:pPr>
        <w:pStyle w:val="Cuerpo"/>
        <w:jc w:val="both"/>
        <w:rPr>
          <w:rFonts w:hAnsi="Times New Roman" w:cs="Times New Roman"/>
          <w:sz w:val="20"/>
          <w:szCs w:val="20"/>
        </w:rPr>
      </w:pPr>
      <w:r w:rsidRPr="00EE3D94">
        <w:rPr>
          <w:rFonts w:hAnsi="Times New Roman" w:cs="Times New Roman"/>
          <w:noProof/>
          <w:sz w:val="20"/>
          <w:szCs w:val="20"/>
          <w:lang w:val="es-ES" w:eastAsia="es-ES"/>
        </w:rPr>
        <w:drawing>
          <wp:inline distT="0" distB="0" distL="0" distR="0" wp14:anchorId="6E2BD498" wp14:editId="1EB14C6B">
            <wp:extent cx="5486400" cy="3200400"/>
            <wp:effectExtent l="0" t="0" r="25400" b="2540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EDB2C8" w14:textId="77777777" w:rsidR="00163C87" w:rsidRPr="00EE3D94" w:rsidRDefault="00163C87" w:rsidP="00163C87">
      <w:pPr>
        <w:pStyle w:val="Cuerpo"/>
        <w:jc w:val="both"/>
        <w:rPr>
          <w:rFonts w:hAnsi="Times New Roman" w:cs="Times New Roman"/>
          <w:sz w:val="20"/>
          <w:szCs w:val="20"/>
        </w:rPr>
      </w:pPr>
    </w:p>
    <w:p w14:paraId="1F4B514D" w14:textId="61CF014D" w:rsidR="00AB0375" w:rsidRPr="003267AC" w:rsidRDefault="00AB0375" w:rsidP="006735A7">
      <w:pPr>
        <w:pStyle w:val="Cuerpo"/>
        <w:jc w:val="center"/>
        <w:rPr>
          <w:rFonts w:hAnsi="Times New Roman" w:cs="Times New Roman"/>
          <w:szCs w:val="20"/>
        </w:rPr>
      </w:pPr>
      <w:r w:rsidRPr="003267AC">
        <w:rPr>
          <w:rFonts w:hAnsi="Times New Roman" w:cs="Times New Roman"/>
          <w:szCs w:val="20"/>
        </w:rPr>
        <w:t xml:space="preserve">Fuente: Elaboración propia con base en datos del Índice Latinoamericano de Transparencia Legislativa, </w:t>
      </w:r>
      <w:r w:rsidR="00091F3D" w:rsidRPr="003267AC">
        <w:rPr>
          <w:rFonts w:hAnsi="Times New Roman" w:cs="Times New Roman"/>
          <w:szCs w:val="20"/>
        </w:rPr>
        <w:t xml:space="preserve">2014 y </w:t>
      </w:r>
      <w:r w:rsidRPr="003267AC">
        <w:rPr>
          <w:rFonts w:hAnsi="Times New Roman" w:cs="Times New Roman"/>
          <w:szCs w:val="20"/>
        </w:rPr>
        <w:t>2016 (</w:t>
      </w:r>
      <w:r w:rsidR="00091F3D" w:rsidRPr="003267AC">
        <w:rPr>
          <w:rFonts w:hAnsi="Times New Roman" w:cs="Times New Roman"/>
          <w:szCs w:val="20"/>
        </w:rPr>
        <w:t xml:space="preserve">9 y </w:t>
      </w:r>
      <w:r w:rsidRPr="003267AC">
        <w:rPr>
          <w:rFonts w:hAnsi="Times New Roman" w:cs="Times New Roman"/>
          <w:szCs w:val="20"/>
        </w:rPr>
        <w:t>13 países</w:t>
      </w:r>
      <w:r w:rsidR="00091F3D" w:rsidRPr="003267AC">
        <w:rPr>
          <w:rFonts w:hAnsi="Times New Roman" w:cs="Times New Roman"/>
          <w:szCs w:val="20"/>
        </w:rPr>
        <w:t>, respectivamente</w:t>
      </w:r>
      <w:r w:rsidRPr="003267AC">
        <w:rPr>
          <w:rFonts w:hAnsi="Times New Roman" w:cs="Times New Roman"/>
          <w:szCs w:val="20"/>
        </w:rPr>
        <w:t>)</w:t>
      </w:r>
      <w:r w:rsidR="00AB46EC" w:rsidRPr="003267AC">
        <w:rPr>
          <w:rStyle w:val="Refdenotaalpie"/>
          <w:rFonts w:hAnsi="Times New Roman" w:cs="Times New Roman"/>
          <w:szCs w:val="20"/>
        </w:rPr>
        <w:footnoteReference w:id="10"/>
      </w:r>
    </w:p>
    <w:p w14:paraId="3C443252" w14:textId="77777777" w:rsidR="00AB0375" w:rsidRPr="00EE3D94" w:rsidRDefault="00AB0375" w:rsidP="00163C87">
      <w:pPr>
        <w:pStyle w:val="Cuerpo"/>
        <w:jc w:val="both"/>
        <w:rPr>
          <w:rFonts w:hAnsi="Times New Roman" w:cs="Times New Roman"/>
          <w:sz w:val="20"/>
          <w:szCs w:val="20"/>
        </w:rPr>
      </w:pPr>
    </w:p>
    <w:p w14:paraId="6D9877F2" w14:textId="494BB1D5" w:rsidR="00A75213" w:rsidRPr="00EE3D94" w:rsidRDefault="00C859F0" w:rsidP="006735A7">
      <w:pPr>
        <w:pStyle w:val="Cuerpo"/>
        <w:spacing w:before="120" w:after="120" w:line="360" w:lineRule="auto"/>
        <w:ind w:firstLine="708"/>
        <w:jc w:val="both"/>
        <w:rPr>
          <w:rFonts w:hAnsi="Times New Roman" w:cs="Times New Roman"/>
        </w:rPr>
      </w:pPr>
      <w:r w:rsidRPr="00767227">
        <w:rPr>
          <w:rFonts w:hAnsi="Times New Roman" w:cs="Times New Roman"/>
        </w:rPr>
        <w:lastRenderedPageBreak/>
        <w:t>El proceso de modernización de los Congresos en América Latina continúa inconcluso</w:t>
      </w:r>
      <w:r w:rsidR="00BA0667">
        <w:rPr>
          <w:rFonts w:hAnsi="Times New Roman" w:cs="Times New Roman"/>
        </w:rPr>
        <w:t>,</w:t>
      </w:r>
      <w:r w:rsidRPr="00767227">
        <w:rPr>
          <w:rFonts w:hAnsi="Times New Roman" w:cs="Times New Roman"/>
        </w:rPr>
        <w:t xml:space="preserve"> dado que </w:t>
      </w:r>
      <w:r w:rsidR="00BA0667">
        <w:rPr>
          <w:rFonts w:hAnsi="Times New Roman" w:cs="Times New Roman"/>
        </w:rPr>
        <w:t>-</w:t>
      </w:r>
      <w:r w:rsidRPr="00767227">
        <w:rPr>
          <w:rFonts w:hAnsi="Times New Roman" w:cs="Times New Roman"/>
        </w:rPr>
        <w:t xml:space="preserve">a pesar de la </w:t>
      </w:r>
      <w:r w:rsidR="00B22152" w:rsidRPr="00767227">
        <w:rPr>
          <w:rFonts w:hAnsi="Times New Roman" w:cs="Times New Roman"/>
        </w:rPr>
        <w:t xml:space="preserve">adecuación </w:t>
      </w:r>
      <w:r w:rsidRPr="00767227">
        <w:rPr>
          <w:rFonts w:hAnsi="Times New Roman" w:cs="Times New Roman"/>
        </w:rPr>
        <w:t>y optimización del trabajo legislativo a la implementación de</w:t>
      </w:r>
      <w:r w:rsidR="00B22152" w:rsidRPr="00767227">
        <w:rPr>
          <w:rFonts w:hAnsi="Times New Roman" w:cs="Times New Roman"/>
        </w:rPr>
        <w:t xml:space="preserve"> tecnologías, personal especializado y permanente, </w:t>
      </w:r>
      <w:r w:rsidRPr="00767227">
        <w:rPr>
          <w:rFonts w:hAnsi="Times New Roman" w:cs="Times New Roman"/>
        </w:rPr>
        <w:t xml:space="preserve">y </w:t>
      </w:r>
      <w:r w:rsidR="00B22152" w:rsidRPr="00767227">
        <w:rPr>
          <w:rFonts w:hAnsi="Times New Roman" w:cs="Times New Roman"/>
        </w:rPr>
        <w:t>la construcción de redes informáticas</w:t>
      </w:r>
      <w:r w:rsidR="00BA0667">
        <w:rPr>
          <w:rFonts w:hAnsi="Times New Roman" w:cs="Times New Roman"/>
        </w:rPr>
        <w:t>-</w:t>
      </w:r>
      <w:r w:rsidR="00BA0667" w:rsidRPr="00EE3D94">
        <w:rPr>
          <w:rFonts w:hAnsi="Times New Roman" w:cs="Times New Roman"/>
        </w:rPr>
        <w:t xml:space="preserve"> </w:t>
      </w:r>
      <w:r w:rsidRPr="00EE3D94">
        <w:rPr>
          <w:rFonts w:hAnsi="Times New Roman" w:cs="Times New Roman"/>
        </w:rPr>
        <w:t xml:space="preserve">son evidentes </w:t>
      </w:r>
      <w:r w:rsidR="00E3089D" w:rsidRPr="00EE3D94">
        <w:rPr>
          <w:rFonts w:hAnsi="Times New Roman" w:cs="Times New Roman"/>
        </w:rPr>
        <w:t>la</w:t>
      </w:r>
      <w:r w:rsidRPr="00EE3D94">
        <w:rPr>
          <w:rFonts w:hAnsi="Times New Roman" w:cs="Times New Roman"/>
        </w:rPr>
        <w:t>s</w:t>
      </w:r>
      <w:r w:rsidR="00E3089D" w:rsidRPr="00EE3D94">
        <w:rPr>
          <w:rFonts w:hAnsi="Times New Roman" w:cs="Times New Roman"/>
        </w:rPr>
        <w:t xml:space="preserve"> asimetría</w:t>
      </w:r>
      <w:r w:rsidRPr="00EE3D94">
        <w:rPr>
          <w:rFonts w:hAnsi="Times New Roman" w:cs="Times New Roman"/>
        </w:rPr>
        <w:t>s</w:t>
      </w:r>
      <w:r w:rsidR="00E3089D" w:rsidRPr="00EE3D94">
        <w:rPr>
          <w:rFonts w:hAnsi="Times New Roman" w:cs="Times New Roman"/>
        </w:rPr>
        <w:t xml:space="preserve"> de información y conocimiento del Legislativo respecto del Ejecutivo </w:t>
      </w:r>
      <w:r w:rsidR="00CD533E" w:rsidRPr="00EE3D94">
        <w:rPr>
          <w:rFonts w:hAnsi="Times New Roman" w:cs="Times New Roman"/>
        </w:rPr>
        <w:t xml:space="preserve">al tratar de </w:t>
      </w:r>
      <w:r w:rsidR="00E3089D" w:rsidRPr="00EE3D94">
        <w:rPr>
          <w:rFonts w:hAnsi="Times New Roman" w:cs="Times New Roman"/>
        </w:rPr>
        <w:t>mejora</w:t>
      </w:r>
      <w:r w:rsidR="00CD533E" w:rsidRPr="00EE3D94">
        <w:rPr>
          <w:rFonts w:hAnsi="Times New Roman" w:cs="Times New Roman"/>
        </w:rPr>
        <w:t>r</w:t>
      </w:r>
      <w:r w:rsidR="00E3089D" w:rsidRPr="00EE3D94">
        <w:rPr>
          <w:rFonts w:hAnsi="Times New Roman" w:cs="Times New Roman"/>
        </w:rPr>
        <w:t xml:space="preserve"> la rendición de cuentas horizontal y su capacidad de control y fiscalización gubernamental</w:t>
      </w:r>
      <w:r w:rsidR="00BA0667">
        <w:rPr>
          <w:rFonts w:hAnsi="Times New Roman" w:cs="Times New Roman"/>
        </w:rPr>
        <w:t>.</w:t>
      </w:r>
      <w:r w:rsidR="00BA0667" w:rsidRPr="00EE3D94">
        <w:rPr>
          <w:rFonts w:hAnsi="Times New Roman" w:cs="Times New Roman"/>
        </w:rPr>
        <w:t xml:space="preserve"> </w:t>
      </w:r>
      <w:r w:rsidR="00BA0667">
        <w:rPr>
          <w:rFonts w:hAnsi="Times New Roman" w:cs="Times New Roman"/>
        </w:rPr>
        <w:t>A</w:t>
      </w:r>
      <w:r w:rsidR="00BA0667" w:rsidRPr="00EE3D94">
        <w:rPr>
          <w:rFonts w:hAnsi="Times New Roman" w:cs="Times New Roman"/>
        </w:rPr>
        <w:t>demás</w:t>
      </w:r>
      <w:r w:rsidR="00BA0667">
        <w:rPr>
          <w:rFonts w:hAnsi="Times New Roman" w:cs="Times New Roman"/>
        </w:rPr>
        <w:t>,</w:t>
      </w:r>
      <w:r w:rsidR="00BA0667" w:rsidRPr="00EE3D94">
        <w:rPr>
          <w:rFonts w:hAnsi="Times New Roman" w:cs="Times New Roman"/>
        </w:rPr>
        <w:t xml:space="preserve"> </w:t>
      </w:r>
      <w:r w:rsidR="00E3089D" w:rsidRPr="00EE3D94">
        <w:rPr>
          <w:rFonts w:hAnsi="Times New Roman" w:cs="Times New Roman"/>
        </w:rPr>
        <w:t>la construcción de redes informáticas que dan acceso al control y a la participación ciudadana</w:t>
      </w:r>
      <w:r w:rsidR="00BA0667">
        <w:rPr>
          <w:rFonts w:hAnsi="Times New Roman" w:cs="Times New Roman"/>
        </w:rPr>
        <w:t>,</w:t>
      </w:r>
      <w:r w:rsidR="00E3089D" w:rsidRPr="00EE3D94">
        <w:rPr>
          <w:rFonts w:hAnsi="Times New Roman" w:cs="Times New Roman"/>
        </w:rPr>
        <w:t xml:space="preserve"> </w:t>
      </w:r>
      <w:r w:rsidRPr="00EE3D94">
        <w:rPr>
          <w:rFonts w:hAnsi="Times New Roman" w:cs="Times New Roman"/>
        </w:rPr>
        <w:t xml:space="preserve">cuyo </w:t>
      </w:r>
      <w:r w:rsidR="00CD533E" w:rsidRPr="00EE3D94">
        <w:rPr>
          <w:rFonts w:hAnsi="Times New Roman" w:cs="Times New Roman"/>
        </w:rPr>
        <w:t>fin e</w:t>
      </w:r>
      <w:r w:rsidRPr="00EE3D94">
        <w:rPr>
          <w:rFonts w:hAnsi="Times New Roman" w:cs="Times New Roman"/>
        </w:rPr>
        <w:t>s</w:t>
      </w:r>
      <w:r w:rsidR="00CD533E" w:rsidRPr="00EE3D94">
        <w:rPr>
          <w:rFonts w:hAnsi="Times New Roman" w:cs="Times New Roman"/>
        </w:rPr>
        <w:t xml:space="preserve"> </w:t>
      </w:r>
      <w:r w:rsidR="00E3089D" w:rsidRPr="00EE3D94">
        <w:rPr>
          <w:rFonts w:hAnsi="Times New Roman" w:cs="Times New Roman"/>
        </w:rPr>
        <w:t>ampl</w:t>
      </w:r>
      <w:r w:rsidR="00CD533E" w:rsidRPr="00EE3D94">
        <w:rPr>
          <w:rFonts w:hAnsi="Times New Roman" w:cs="Times New Roman"/>
        </w:rPr>
        <w:t>iar</w:t>
      </w:r>
      <w:r w:rsidR="00E3089D" w:rsidRPr="00EE3D94">
        <w:rPr>
          <w:rFonts w:hAnsi="Times New Roman" w:cs="Times New Roman"/>
        </w:rPr>
        <w:t xml:space="preserve"> la inclusión de los representados</w:t>
      </w:r>
      <w:r w:rsidR="00FA393F" w:rsidRPr="00EE3D94">
        <w:rPr>
          <w:rFonts w:hAnsi="Times New Roman" w:cs="Times New Roman"/>
        </w:rPr>
        <w:t xml:space="preserve"> en las decisiones legislativas,</w:t>
      </w:r>
      <w:r w:rsidRPr="00EE3D94">
        <w:rPr>
          <w:rFonts w:hAnsi="Times New Roman" w:cs="Times New Roman"/>
        </w:rPr>
        <w:t xml:space="preserve"> se muestran </w:t>
      </w:r>
      <w:r w:rsidR="00BA0667" w:rsidRPr="00EE3D94">
        <w:rPr>
          <w:rFonts w:hAnsi="Times New Roman" w:cs="Times New Roman"/>
        </w:rPr>
        <w:t>limitad</w:t>
      </w:r>
      <w:r w:rsidR="00BA0667">
        <w:rPr>
          <w:rFonts w:hAnsi="Times New Roman" w:cs="Times New Roman"/>
        </w:rPr>
        <w:t>a</w:t>
      </w:r>
      <w:r w:rsidR="00BA0667" w:rsidRPr="00EE3D94">
        <w:rPr>
          <w:rFonts w:hAnsi="Times New Roman" w:cs="Times New Roman"/>
        </w:rPr>
        <w:t>s</w:t>
      </w:r>
      <w:r w:rsidRPr="00EE3D94">
        <w:rPr>
          <w:rFonts w:hAnsi="Times New Roman" w:cs="Times New Roman"/>
        </w:rPr>
        <w:t xml:space="preserve">, </w:t>
      </w:r>
      <w:r w:rsidR="00BA0667" w:rsidRPr="00EE3D94">
        <w:rPr>
          <w:rFonts w:hAnsi="Times New Roman" w:cs="Times New Roman"/>
        </w:rPr>
        <w:t>ambigu</w:t>
      </w:r>
      <w:r w:rsidR="00BA0667">
        <w:rPr>
          <w:rFonts w:hAnsi="Times New Roman" w:cs="Times New Roman"/>
        </w:rPr>
        <w:t>a</w:t>
      </w:r>
      <w:r w:rsidR="00BA0667" w:rsidRPr="00EE3D94">
        <w:rPr>
          <w:rFonts w:hAnsi="Times New Roman" w:cs="Times New Roman"/>
        </w:rPr>
        <w:t xml:space="preserve">s </w:t>
      </w:r>
      <w:r w:rsidRPr="00EE3D94">
        <w:rPr>
          <w:rFonts w:hAnsi="Times New Roman" w:cs="Times New Roman"/>
        </w:rPr>
        <w:t>y carentes de vinculación con la opinión de los ciudadanos.</w:t>
      </w:r>
    </w:p>
    <w:p w14:paraId="640C16C6" w14:textId="2538829C" w:rsidR="00C859F0" w:rsidRPr="00E43AA5" w:rsidRDefault="00C859F0" w:rsidP="00C859F0">
      <w:pPr>
        <w:pStyle w:val="Cuerpo"/>
        <w:spacing w:before="120" w:after="120" w:line="360" w:lineRule="auto"/>
        <w:jc w:val="both"/>
        <w:rPr>
          <w:rFonts w:ascii="Arial" w:eastAsia="Times New Roman" w:hAnsi="Arial" w:cs="Arial"/>
          <w:b/>
          <w:bCs/>
          <w:color w:val="auto"/>
          <w:bdr w:val="none" w:sz="0" w:space="0" w:color="auto"/>
          <w:lang w:val="es-MX" w:eastAsia="en-US"/>
        </w:rPr>
      </w:pPr>
      <w:r w:rsidRPr="00E43AA5">
        <w:rPr>
          <w:rFonts w:ascii="Arial" w:eastAsia="Times New Roman" w:hAnsi="Arial" w:cs="Arial"/>
          <w:b/>
          <w:bCs/>
          <w:color w:val="auto"/>
          <w:bdr w:val="none" w:sz="0" w:space="0" w:color="auto"/>
          <w:lang w:val="es-MX" w:eastAsia="en-US"/>
        </w:rPr>
        <w:t>Los sistemas de información como apoyo de la rendición de cuentas social</w:t>
      </w:r>
    </w:p>
    <w:p w14:paraId="45F544EB" w14:textId="3266CF4B" w:rsidR="00C859F0" w:rsidRPr="00EE3D94" w:rsidRDefault="00C859F0" w:rsidP="006735A7">
      <w:pPr>
        <w:pStyle w:val="Cuerpo"/>
        <w:spacing w:before="120" w:after="120" w:line="360" w:lineRule="auto"/>
        <w:ind w:firstLine="708"/>
        <w:jc w:val="both"/>
        <w:rPr>
          <w:rFonts w:hAnsi="Times New Roman" w:cs="Times New Roman"/>
        </w:rPr>
      </w:pPr>
      <w:r w:rsidRPr="00EE3D94">
        <w:rPr>
          <w:rFonts w:hAnsi="Times New Roman" w:cs="Times New Roman"/>
        </w:rPr>
        <w:t>En América Latina</w:t>
      </w:r>
      <w:r w:rsidR="00BA0667">
        <w:rPr>
          <w:rFonts w:hAnsi="Times New Roman" w:cs="Times New Roman"/>
        </w:rPr>
        <w:t>,</w:t>
      </w:r>
      <w:r w:rsidRPr="00EE3D94">
        <w:rPr>
          <w:rFonts w:hAnsi="Times New Roman" w:cs="Times New Roman"/>
        </w:rPr>
        <w:t xml:space="preserve"> todos los parlamentos cuentan con bibliotecas o centros de documentación e información o ambos al mismo tiempo. Ernesto Cavero </w:t>
      </w:r>
      <w:r w:rsidR="001A2EB6" w:rsidRPr="00EE3D94">
        <w:rPr>
          <w:rFonts w:hAnsi="Times New Roman" w:cs="Times New Roman"/>
        </w:rPr>
        <w:t>(2010)</w:t>
      </w:r>
      <w:r w:rsidRPr="00EE3D94">
        <w:rPr>
          <w:rFonts w:hAnsi="Times New Roman" w:cs="Times New Roman"/>
        </w:rPr>
        <w:t xml:space="preserve"> identifica cuatro modelos de gestión de la información: a</w:t>
      </w:r>
      <w:r w:rsidRPr="00767227">
        <w:rPr>
          <w:rFonts w:hAnsi="Times New Roman" w:cs="Times New Roman"/>
        </w:rPr>
        <w:t>) Modelo consultivo</w:t>
      </w:r>
      <w:r w:rsidR="006E647B">
        <w:rPr>
          <w:rFonts w:hAnsi="Times New Roman" w:cs="Times New Roman"/>
        </w:rPr>
        <w:t>,</w:t>
      </w:r>
      <w:r w:rsidR="006E647B" w:rsidRPr="00767227">
        <w:rPr>
          <w:rFonts w:hAnsi="Times New Roman" w:cs="Times New Roman"/>
        </w:rPr>
        <w:t xml:space="preserve"> </w:t>
      </w:r>
      <w:r w:rsidR="006E647B">
        <w:rPr>
          <w:rFonts w:hAnsi="Times New Roman" w:cs="Times New Roman"/>
        </w:rPr>
        <w:t>que es c</w:t>
      </w:r>
      <w:r w:rsidR="006E647B" w:rsidRPr="00767227">
        <w:rPr>
          <w:rFonts w:hAnsi="Times New Roman" w:cs="Times New Roman"/>
        </w:rPr>
        <w:t xml:space="preserve">uando </w:t>
      </w:r>
      <w:r w:rsidRPr="00767227">
        <w:rPr>
          <w:rFonts w:hAnsi="Times New Roman" w:cs="Times New Roman"/>
        </w:rPr>
        <w:t>los sistemas de información son asumidos por la biblioteca del Parlamento; b) Modelo de investigación en comisiones</w:t>
      </w:r>
      <w:r w:rsidR="006E647B">
        <w:rPr>
          <w:rFonts w:hAnsi="Times New Roman" w:cs="Times New Roman"/>
        </w:rPr>
        <w:t>, que</w:t>
      </w:r>
      <w:r w:rsidRPr="00767227">
        <w:rPr>
          <w:rFonts w:hAnsi="Times New Roman" w:cs="Times New Roman"/>
        </w:rPr>
        <w:t xml:space="preserve"> se refiere a los servicios de investigación y asesoría parlamentaria, con asesores para las comisiones legislativas (información especializada, con acceso abierto o restringido); c) Modelo con áreas de investigación especializada, </w:t>
      </w:r>
      <w:r w:rsidR="006E647B">
        <w:rPr>
          <w:rFonts w:hAnsi="Times New Roman" w:cs="Times New Roman"/>
        </w:rPr>
        <w:t>en el que</w:t>
      </w:r>
      <w:r w:rsidR="006E647B" w:rsidRPr="00767227">
        <w:rPr>
          <w:rFonts w:hAnsi="Times New Roman" w:cs="Times New Roman"/>
        </w:rPr>
        <w:t xml:space="preserve"> </w:t>
      </w:r>
      <w:r w:rsidRPr="00767227">
        <w:rPr>
          <w:rFonts w:hAnsi="Times New Roman" w:cs="Times New Roman"/>
        </w:rPr>
        <w:t>se incorporan investigadores interdisciplinarios integrados en un área parlamentaria de investigación y análisis (investigación especializada con acceso restringido); d) Modelo con centros de investigación especializados,</w:t>
      </w:r>
      <w:r w:rsidR="006E647B">
        <w:rPr>
          <w:rFonts w:hAnsi="Times New Roman" w:cs="Times New Roman"/>
        </w:rPr>
        <w:t xml:space="preserve"> </w:t>
      </w:r>
      <w:r w:rsidR="0034168C">
        <w:rPr>
          <w:rFonts w:hAnsi="Times New Roman" w:cs="Times New Roman"/>
        </w:rPr>
        <w:t>co</w:t>
      </w:r>
      <w:r w:rsidR="006E647B">
        <w:rPr>
          <w:rFonts w:hAnsi="Times New Roman" w:cs="Times New Roman"/>
        </w:rPr>
        <w:t>n el que</w:t>
      </w:r>
      <w:r w:rsidRPr="00767227">
        <w:rPr>
          <w:rFonts w:hAnsi="Times New Roman" w:cs="Times New Roman"/>
        </w:rPr>
        <w:t xml:space="preserve"> a </w:t>
      </w:r>
      <w:r w:rsidR="006E647B" w:rsidRPr="00767227">
        <w:rPr>
          <w:rFonts w:hAnsi="Times New Roman" w:cs="Times New Roman"/>
        </w:rPr>
        <w:t>l</w:t>
      </w:r>
      <w:r w:rsidR="006E647B">
        <w:rPr>
          <w:rFonts w:hAnsi="Times New Roman" w:cs="Times New Roman"/>
        </w:rPr>
        <w:t>o</w:t>
      </w:r>
      <w:r w:rsidR="006E647B" w:rsidRPr="00767227">
        <w:rPr>
          <w:rFonts w:hAnsi="Times New Roman" w:cs="Times New Roman"/>
        </w:rPr>
        <w:t>s</w:t>
      </w:r>
      <w:r w:rsidR="0034168C">
        <w:rPr>
          <w:rFonts w:hAnsi="Times New Roman" w:cs="Times New Roman"/>
        </w:rPr>
        <w:t xml:space="preserve"> modelos</w:t>
      </w:r>
      <w:r w:rsidR="006E647B" w:rsidRPr="00767227">
        <w:rPr>
          <w:rFonts w:hAnsi="Times New Roman" w:cs="Times New Roman"/>
        </w:rPr>
        <w:t xml:space="preserve"> </w:t>
      </w:r>
      <w:r w:rsidRPr="00767227">
        <w:rPr>
          <w:rFonts w:hAnsi="Times New Roman" w:cs="Times New Roman"/>
        </w:rPr>
        <w:t xml:space="preserve">anteriores se </w:t>
      </w:r>
      <w:r w:rsidR="0034168C">
        <w:rPr>
          <w:rFonts w:hAnsi="Times New Roman" w:cs="Times New Roman"/>
        </w:rPr>
        <w:t xml:space="preserve">les </w:t>
      </w:r>
      <w:r w:rsidRPr="00767227">
        <w:rPr>
          <w:rFonts w:hAnsi="Times New Roman" w:cs="Times New Roman"/>
        </w:rPr>
        <w:t>puede incluir estructuras de investigación y análisis especializado</w:t>
      </w:r>
      <w:r w:rsidRPr="00EE3D94">
        <w:rPr>
          <w:rFonts w:hAnsi="Times New Roman" w:cs="Times New Roman"/>
        </w:rPr>
        <w:t xml:space="preserve"> (centros de investigación, con acceso abierto o restringido).</w:t>
      </w:r>
    </w:p>
    <w:p w14:paraId="6D61C00A" w14:textId="4B8637C2" w:rsidR="00C859F0" w:rsidRPr="00EE3D94" w:rsidRDefault="001A2EB6" w:rsidP="006735A7">
      <w:pPr>
        <w:pStyle w:val="Cuerpo"/>
        <w:spacing w:line="360" w:lineRule="auto"/>
        <w:ind w:firstLine="708"/>
        <w:jc w:val="both"/>
        <w:rPr>
          <w:rFonts w:hAnsi="Times New Roman" w:cs="Times New Roman"/>
        </w:rPr>
      </w:pPr>
      <w:r w:rsidRPr="00EE3D94">
        <w:rPr>
          <w:rFonts w:hAnsi="Times New Roman" w:cs="Times New Roman"/>
        </w:rPr>
        <w:t xml:space="preserve">Por su parte, </w:t>
      </w:r>
      <w:r w:rsidR="00C859F0" w:rsidRPr="00EE3D94">
        <w:rPr>
          <w:rFonts w:hAnsi="Times New Roman" w:cs="Times New Roman"/>
        </w:rPr>
        <w:t>Felipe Meneses</w:t>
      </w:r>
      <w:r w:rsidRPr="00EE3D94">
        <w:rPr>
          <w:rFonts w:hAnsi="Times New Roman" w:cs="Times New Roman"/>
        </w:rPr>
        <w:t xml:space="preserve"> (2008)</w:t>
      </w:r>
      <w:r w:rsidR="00C859F0" w:rsidRPr="00EE3D94">
        <w:rPr>
          <w:rFonts w:hAnsi="Times New Roman" w:cs="Times New Roman"/>
        </w:rPr>
        <w:t xml:space="preserve"> menciona que las bibliotecas varían de acuerdo al tipo de servicios ofertados y a los usuarios atendidos. Hay bibliotecas que funcionan como bibliotecas nacionales no especializadas, otras son especializadas</w:t>
      </w:r>
      <w:r w:rsidR="0034168C">
        <w:rPr>
          <w:rFonts w:hAnsi="Times New Roman" w:cs="Times New Roman"/>
        </w:rPr>
        <w:t>.</w:t>
      </w:r>
      <w:r w:rsidR="0034168C" w:rsidRPr="00EE3D94">
        <w:rPr>
          <w:rFonts w:hAnsi="Times New Roman" w:cs="Times New Roman"/>
        </w:rPr>
        <w:t xml:space="preserve"> </w:t>
      </w:r>
      <w:r w:rsidR="0034168C">
        <w:rPr>
          <w:rFonts w:hAnsi="Times New Roman" w:cs="Times New Roman"/>
        </w:rPr>
        <w:t>E</w:t>
      </w:r>
      <w:r w:rsidR="0034168C" w:rsidRPr="00EE3D94">
        <w:rPr>
          <w:rFonts w:hAnsi="Times New Roman" w:cs="Times New Roman"/>
        </w:rPr>
        <w:t xml:space="preserve">n </w:t>
      </w:r>
      <w:r w:rsidR="00C859F0" w:rsidRPr="00EE3D94">
        <w:rPr>
          <w:rFonts w:hAnsi="Times New Roman" w:cs="Times New Roman"/>
        </w:rPr>
        <w:t>algunos casos, la misma biblioteca funciona para ambas cámaras o</w:t>
      </w:r>
      <w:r w:rsidR="0034168C">
        <w:rPr>
          <w:rFonts w:hAnsi="Times New Roman" w:cs="Times New Roman"/>
        </w:rPr>
        <w:t>,</w:t>
      </w:r>
      <w:r w:rsidR="00C859F0" w:rsidRPr="00EE3D94">
        <w:rPr>
          <w:rFonts w:hAnsi="Times New Roman" w:cs="Times New Roman"/>
        </w:rPr>
        <w:t xml:space="preserve"> incluso</w:t>
      </w:r>
      <w:r w:rsidR="0034168C">
        <w:rPr>
          <w:rFonts w:hAnsi="Times New Roman" w:cs="Times New Roman"/>
        </w:rPr>
        <w:t>,</w:t>
      </w:r>
      <w:r w:rsidR="00C859F0" w:rsidRPr="00EE3D94">
        <w:rPr>
          <w:rFonts w:hAnsi="Times New Roman" w:cs="Times New Roman"/>
        </w:rPr>
        <w:t xml:space="preserve"> el autor identificó bibliotecas que</w:t>
      </w:r>
      <w:r w:rsidR="0034168C">
        <w:rPr>
          <w:rFonts w:hAnsi="Times New Roman" w:cs="Times New Roman"/>
        </w:rPr>
        <w:t>,</w:t>
      </w:r>
      <w:r w:rsidR="00C859F0" w:rsidRPr="00EE3D94">
        <w:rPr>
          <w:rFonts w:hAnsi="Times New Roman" w:cs="Times New Roman"/>
        </w:rPr>
        <w:t xml:space="preserve"> al mismo tiempo</w:t>
      </w:r>
      <w:r w:rsidR="0034168C">
        <w:rPr>
          <w:rFonts w:hAnsi="Times New Roman" w:cs="Times New Roman"/>
        </w:rPr>
        <w:t>,</w:t>
      </w:r>
      <w:r w:rsidR="00C859F0" w:rsidRPr="00EE3D94">
        <w:rPr>
          <w:rFonts w:hAnsi="Times New Roman" w:cs="Times New Roman"/>
        </w:rPr>
        <w:t xml:space="preserve"> sirven como departamentos de información y documentación.  Por ejemplo, Argentina y Colombia</w:t>
      </w:r>
      <w:r w:rsidR="0034168C">
        <w:rPr>
          <w:rFonts w:hAnsi="Times New Roman" w:cs="Times New Roman"/>
        </w:rPr>
        <w:t>,</w:t>
      </w:r>
      <w:r w:rsidR="00C859F0" w:rsidRPr="00EE3D94">
        <w:rPr>
          <w:rFonts w:hAnsi="Times New Roman" w:cs="Times New Roman"/>
        </w:rPr>
        <w:t xml:space="preserve"> con sistemas bicamerales y altas asignaciones presupuestales, solo cuentan con una biblioteca que funciona para las dos cámaras, incluso </w:t>
      </w:r>
      <w:r w:rsidR="00C859F0" w:rsidRPr="00EE3D94">
        <w:rPr>
          <w:rFonts w:hAnsi="Times New Roman" w:cs="Times New Roman"/>
        </w:rPr>
        <w:lastRenderedPageBreak/>
        <w:t>la biblioteca del Congreso en Colombia es biblioteca nacional. En Ecuador, la biblioteca es un área descentralizada del Congreso Nacional y provee información a usuarios internos y externos. Costa Rica, Honduras y Nicaragua cuentan con servicios de documentación e información más de referencia. En Perú, Paraguay, Chile y México</w:t>
      </w:r>
      <w:r w:rsidR="0034168C">
        <w:rPr>
          <w:rFonts w:hAnsi="Times New Roman" w:cs="Times New Roman"/>
        </w:rPr>
        <w:t>,</w:t>
      </w:r>
      <w:r w:rsidR="00C859F0" w:rsidRPr="00EE3D94">
        <w:rPr>
          <w:rFonts w:hAnsi="Times New Roman" w:cs="Times New Roman"/>
        </w:rPr>
        <w:t xml:space="preserve"> </w:t>
      </w:r>
      <w:r w:rsidR="0034168C">
        <w:rPr>
          <w:rFonts w:hAnsi="Times New Roman" w:cs="Times New Roman"/>
        </w:rPr>
        <w:t>lo</w:t>
      </w:r>
      <w:r w:rsidR="0034168C" w:rsidRPr="00EE3D94">
        <w:rPr>
          <w:rFonts w:hAnsi="Times New Roman" w:cs="Times New Roman"/>
        </w:rPr>
        <w:t xml:space="preserve">s </w:t>
      </w:r>
      <w:r w:rsidR="00C859F0" w:rsidRPr="00EE3D94">
        <w:rPr>
          <w:rFonts w:hAnsi="Times New Roman" w:cs="Times New Roman"/>
        </w:rPr>
        <w:t>congresos se caracterizan por contar con bibliotecas especializadas para usuarios internos y externos, además de servicios de documentación e información de acceso abierto</w:t>
      </w:r>
      <w:r w:rsidR="0034168C">
        <w:rPr>
          <w:rFonts w:hAnsi="Times New Roman" w:cs="Times New Roman"/>
        </w:rPr>
        <w:t>.</w:t>
      </w:r>
      <w:r w:rsidR="0034168C" w:rsidRPr="00EE3D94">
        <w:rPr>
          <w:rFonts w:hAnsi="Times New Roman" w:cs="Times New Roman"/>
        </w:rPr>
        <w:t xml:space="preserve"> </w:t>
      </w:r>
      <w:r w:rsidR="0034168C">
        <w:rPr>
          <w:rFonts w:hAnsi="Times New Roman" w:cs="Times New Roman"/>
        </w:rPr>
        <w:t>S</w:t>
      </w:r>
      <w:r w:rsidR="0034168C" w:rsidRPr="00EE3D94">
        <w:rPr>
          <w:rFonts w:hAnsi="Times New Roman" w:cs="Times New Roman"/>
        </w:rPr>
        <w:t xml:space="preserve">in </w:t>
      </w:r>
      <w:r w:rsidR="00C859F0" w:rsidRPr="00EE3D94">
        <w:rPr>
          <w:rFonts w:hAnsi="Times New Roman" w:cs="Times New Roman"/>
        </w:rPr>
        <w:t>embargo, en el caso de México se debe destacar que el personal dedicado a las áreas de investigación es escaso y no permanente (el promedio de antigüedad es de dos a cuatro años</w:t>
      </w:r>
      <w:r w:rsidR="0034168C" w:rsidRPr="00EE3D94">
        <w:rPr>
          <w:rFonts w:hAnsi="Times New Roman" w:cs="Times New Roman"/>
        </w:rPr>
        <w:t>)</w:t>
      </w:r>
      <w:r w:rsidR="0034168C">
        <w:rPr>
          <w:rFonts w:hAnsi="Times New Roman" w:cs="Times New Roman"/>
        </w:rPr>
        <w:t>.</w:t>
      </w:r>
      <w:r w:rsidR="0034168C" w:rsidRPr="00EE3D94">
        <w:rPr>
          <w:rFonts w:hAnsi="Times New Roman" w:cs="Times New Roman"/>
        </w:rPr>
        <w:t xml:space="preserve"> </w:t>
      </w:r>
      <w:r w:rsidR="0034168C">
        <w:rPr>
          <w:rFonts w:hAnsi="Times New Roman" w:cs="Times New Roman"/>
        </w:rPr>
        <w:t>P</w:t>
      </w:r>
      <w:r w:rsidR="0034168C" w:rsidRPr="00EE3D94">
        <w:rPr>
          <w:rFonts w:hAnsi="Times New Roman" w:cs="Times New Roman"/>
        </w:rPr>
        <w:t xml:space="preserve">or </w:t>
      </w:r>
      <w:r w:rsidR="00C859F0" w:rsidRPr="00EE3D94">
        <w:rPr>
          <w:rFonts w:hAnsi="Times New Roman" w:cs="Times New Roman"/>
        </w:rPr>
        <w:t xml:space="preserve">ejemplo, la Secretaría de Servicios Parlamentarios (encargada de los centros) cuenta con 418 empleados, de los </w:t>
      </w:r>
      <w:r w:rsidR="0034168C" w:rsidRPr="00EE3D94">
        <w:rPr>
          <w:rFonts w:hAnsi="Times New Roman" w:cs="Times New Roman"/>
        </w:rPr>
        <w:t>cu</w:t>
      </w:r>
      <w:r w:rsidR="0034168C">
        <w:rPr>
          <w:rFonts w:hAnsi="Times New Roman" w:cs="Times New Roman"/>
        </w:rPr>
        <w:t>a</w:t>
      </w:r>
      <w:r w:rsidR="0034168C" w:rsidRPr="00EE3D94">
        <w:rPr>
          <w:rFonts w:hAnsi="Times New Roman" w:cs="Times New Roman"/>
        </w:rPr>
        <w:t xml:space="preserve">les </w:t>
      </w:r>
      <w:r w:rsidR="00C859F0" w:rsidRPr="00EE3D94">
        <w:rPr>
          <w:rFonts w:hAnsi="Times New Roman" w:cs="Times New Roman"/>
        </w:rPr>
        <w:t>nueve son investigadores especializados, en tanto</w:t>
      </w:r>
      <w:r w:rsidR="0034168C">
        <w:rPr>
          <w:rFonts w:hAnsi="Times New Roman" w:cs="Times New Roman"/>
        </w:rPr>
        <w:t xml:space="preserve"> que</w:t>
      </w:r>
      <w:r w:rsidR="00C859F0" w:rsidRPr="00EE3D94">
        <w:rPr>
          <w:rFonts w:hAnsi="Times New Roman" w:cs="Times New Roman"/>
        </w:rPr>
        <w:t xml:space="preserve"> las áreas administrativas y operativas en conjunto suman más de tres mil seiscientos empleados</w:t>
      </w:r>
      <w:r w:rsidRPr="00EE3D94">
        <w:rPr>
          <w:rFonts w:hAnsi="Times New Roman" w:cs="Times New Roman"/>
        </w:rPr>
        <w:t xml:space="preserve"> (Integralia, 2012)</w:t>
      </w:r>
      <w:r w:rsidR="00C859F0" w:rsidRPr="00EE3D94">
        <w:rPr>
          <w:rFonts w:hAnsi="Times New Roman" w:cs="Times New Roman"/>
        </w:rPr>
        <w:t xml:space="preserve">. </w:t>
      </w:r>
    </w:p>
    <w:p w14:paraId="5E80B7E4" w14:textId="73A004DA" w:rsidR="00C859F0" w:rsidRPr="00767227" w:rsidRDefault="00C859F0" w:rsidP="006735A7">
      <w:pPr>
        <w:pStyle w:val="Cuerpo"/>
        <w:spacing w:line="360" w:lineRule="auto"/>
        <w:ind w:firstLine="708"/>
        <w:jc w:val="both"/>
        <w:rPr>
          <w:rFonts w:hAnsi="Times New Roman" w:cs="Times New Roman"/>
        </w:rPr>
      </w:pPr>
      <w:r w:rsidRPr="00EE3D94">
        <w:rPr>
          <w:rFonts w:hAnsi="Times New Roman" w:cs="Times New Roman"/>
        </w:rPr>
        <w:t>No obstante la capacidad de los parlamentos para generar su propia información, esta también debe ser evaluada en términos de la calidad de la información ofertada, conocimiento especializado, veracidad de la información y fácil acceso</w:t>
      </w:r>
      <w:r w:rsidR="001A2EB6" w:rsidRPr="00EE3D94">
        <w:rPr>
          <w:rFonts w:hAnsi="Times New Roman" w:cs="Times New Roman"/>
        </w:rPr>
        <w:t xml:space="preserve"> a la misma</w:t>
      </w:r>
      <w:r w:rsidRPr="00EE3D94">
        <w:rPr>
          <w:rFonts w:hAnsi="Times New Roman" w:cs="Times New Roman"/>
        </w:rPr>
        <w:t>. Desde esta perspectiva, actualmente se debate la necesidad de consolidar los servicios de información e investigación parlamentaria</w:t>
      </w:r>
      <w:r w:rsidR="0034168C">
        <w:rPr>
          <w:rFonts w:hAnsi="Times New Roman" w:cs="Times New Roman"/>
        </w:rPr>
        <w:t>,</w:t>
      </w:r>
      <w:r w:rsidR="0034168C" w:rsidRPr="00EE3D94">
        <w:rPr>
          <w:rFonts w:hAnsi="Times New Roman" w:cs="Times New Roman"/>
        </w:rPr>
        <w:t xml:space="preserve"> </w:t>
      </w:r>
      <w:r w:rsidRPr="00EE3D94">
        <w:rPr>
          <w:rFonts w:hAnsi="Times New Roman" w:cs="Times New Roman"/>
        </w:rPr>
        <w:t>al tiempo que se cuestiona el grado de intervención de dichos sistemas en el trabajo legislativo, lo que implica responsabilidades e incluso coparticipación del proceso legislativo</w:t>
      </w:r>
      <w:r w:rsidR="0034168C">
        <w:rPr>
          <w:rFonts w:hAnsi="Times New Roman" w:cs="Times New Roman"/>
        </w:rPr>
        <w:t>.</w:t>
      </w:r>
      <w:r w:rsidR="0034168C" w:rsidRPr="00EE3D94">
        <w:rPr>
          <w:rFonts w:hAnsi="Times New Roman" w:cs="Times New Roman"/>
        </w:rPr>
        <w:t xml:space="preserve"> </w:t>
      </w:r>
      <w:r w:rsidR="0034168C">
        <w:rPr>
          <w:rFonts w:hAnsi="Times New Roman" w:cs="Times New Roman"/>
        </w:rPr>
        <w:t>D</w:t>
      </w:r>
      <w:r w:rsidR="0034168C" w:rsidRPr="00EE3D94">
        <w:rPr>
          <w:rFonts w:hAnsi="Times New Roman" w:cs="Times New Roman"/>
        </w:rPr>
        <w:t xml:space="preserve">e </w:t>
      </w:r>
      <w:r w:rsidRPr="00EE3D94">
        <w:rPr>
          <w:rFonts w:hAnsi="Times New Roman" w:cs="Times New Roman"/>
        </w:rPr>
        <w:t xml:space="preserve">ahí la pregunta </w:t>
      </w:r>
      <w:r w:rsidRPr="00767227">
        <w:rPr>
          <w:rFonts w:hAnsi="Times New Roman" w:cs="Times New Roman"/>
        </w:rPr>
        <w:t xml:space="preserve">sobre </w:t>
      </w:r>
      <w:r w:rsidR="0034168C">
        <w:rPr>
          <w:rFonts w:hAnsi="Times New Roman" w:cs="Times New Roman"/>
        </w:rPr>
        <w:t>c</w:t>
      </w:r>
      <w:r w:rsidRPr="00767227">
        <w:rPr>
          <w:rFonts w:hAnsi="Times New Roman" w:cs="Times New Roman"/>
        </w:rPr>
        <w:t xml:space="preserve">uál es la utilidad concreta de poseer </w:t>
      </w:r>
      <w:r w:rsidR="0034168C">
        <w:rPr>
          <w:rFonts w:hAnsi="Times New Roman" w:cs="Times New Roman"/>
        </w:rPr>
        <w:t>el</w:t>
      </w:r>
      <w:r w:rsidR="0034168C" w:rsidRPr="00767227">
        <w:rPr>
          <w:rFonts w:hAnsi="Times New Roman" w:cs="Times New Roman"/>
        </w:rPr>
        <w:t xml:space="preserve"> </w:t>
      </w:r>
      <w:r w:rsidRPr="00767227">
        <w:rPr>
          <w:rFonts w:hAnsi="Times New Roman" w:cs="Times New Roman"/>
        </w:rPr>
        <w:t>Sistema de Información Legislativa para la participación ciudadana</w:t>
      </w:r>
      <w:r w:rsidR="0034168C">
        <w:rPr>
          <w:rFonts w:hAnsi="Times New Roman" w:cs="Times New Roman"/>
        </w:rPr>
        <w:t>.</w:t>
      </w:r>
    </w:p>
    <w:p w14:paraId="0B1B878A" w14:textId="1938A681" w:rsidR="00C859F0" w:rsidRPr="00EE3D94" w:rsidRDefault="00C859F0" w:rsidP="006735A7">
      <w:pPr>
        <w:pStyle w:val="Cuerpo"/>
        <w:spacing w:before="120" w:after="120" w:line="360" w:lineRule="auto"/>
        <w:ind w:firstLine="708"/>
        <w:jc w:val="both"/>
        <w:rPr>
          <w:rFonts w:hAnsi="Times New Roman" w:cs="Times New Roman"/>
        </w:rPr>
      </w:pPr>
      <w:r w:rsidRPr="00767227">
        <w:rPr>
          <w:rFonts w:hAnsi="Times New Roman" w:cs="Times New Roman"/>
        </w:rPr>
        <w:t xml:space="preserve">La discusión ciudadana de los asuntos públicos incluye el debate público </w:t>
      </w:r>
      <w:r w:rsidR="0034168C">
        <w:rPr>
          <w:rFonts w:hAnsi="Times New Roman" w:cs="Times New Roman"/>
        </w:rPr>
        <w:t>en el que</w:t>
      </w:r>
      <w:r w:rsidR="0034168C" w:rsidRPr="00767227">
        <w:rPr>
          <w:rFonts w:hAnsi="Times New Roman" w:cs="Times New Roman"/>
        </w:rPr>
        <w:t xml:space="preserve"> </w:t>
      </w:r>
      <w:r w:rsidRPr="00767227">
        <w:rPr>
          <w:rFonts w:hAnsi="Times New Roman" w:cs="Times New Roman"/>
        </w:rPr>
        <w:t>participan los potencialmente afectados, los</w:t>
      </w:r>
      <w:r w:rsidRPr="00EE3D94">
        <w:rPr>
          <w:rFonts w:hAnsi="Times New Roman" w:cs="Times New Roman"/>
        </w:rPr>
        <w:t xml:space="preserve"> ciudadanos</w:t>
      </w:r>
      <w:r w:rsidR="0034168C">
        <w:rPr>
          <w:rFonts w:hAnsi="Times New Roman" w:cs="Times New Roman"/>
        </w:rPr>
        <w:t>,</w:t>
      </w:r>
      <w:r w:rsidRPr="00EE3D94">
        <w:rPr>
          <w:rFonts w:hAnsi="Times New Roman" w:cs="Times New Roman"/>
        </w:rPr>
        <w:t xml:space="preserve"> cuyo peso es el argumento y no necesariamente el número de personas que sostienen determinada posición</w:t>
      </w:r>
      <w:r w:rsidR="0034168C">
        <w:rPr>
          <w:rFonts w:hAnsi="Times New Roman" w:cs="Times New Roman"/>
        </w:rPr>
        <w:t>.</w:t>
      </w:r>
      <w:r w:rsidRPr="00EE3D94">
        <w:rPr>
          <w:rFonts w:hAnsi="Times New Roman" w:cs="Times New Roman"/>
        </w:rPr>
        <w:t xml:space="preserve"> </w:t>
      </w:r>
      <w:r w:rsidR="0034168C">
        <w:rPr>
          <w:rFonts w:hAnsi="Times New Roman" w:cs="Times New Roman"/>
        </w:rPr>
        <w:t>E</w:t>
      </w:r>
      <w:r w:rsidRPr="00EE3D94">
        <w:rPr>
          <w:rFonts w:hAnsi="Times New Roman" w:cs="Times New Roman"/>
        </w:rPr>
        <w:t xml:space="preserve">s precisamente el argumento </w:t>
      </w:r>
      <w:r w:rsidR="0034168C">
        <w:rPr>
          <w:rFonts w:hAnsi="Times New Roman" w:cs="Times New Roman"/>
        </w:rPr>
        <w:t>con el que las</w:t>
      </w:r>
      <w:r w:rsidR="0034168C" w:rsidRPr="00EE3D94">
        <w:rPr>
          <w:rFonts w:hAnsi="Times New Roman" w:cs="Times New Roman"/>
        </w:rPr>
        <w:t xml:space="preserve"> </w:t>
      </w:r>
      <w:r w:rsidRPr="00EE3D94">
        <w:rPr>
          <w:rFonts w:hAnsi="Times New Roman" w:cs="Times New Roman"/>
        </w:rPr>
        <w:t>personas racionales</w:t>
      </w:r>
      <w:r w:rsidR="0034168C">
        <w:rPr>
          <w:rFonts w:hAnsi="Times New Roman" w:cs="Times New Roman"/>
        </w:rPr>
        <w:t>,</w:t>
      </w:r>
      <w:r w:rsidRPr="00EE3D94">
        <w:rPr>
          <w:rFonts w:hAnsi="Times New Roman" w:cs="Times New Roman"/>
        </w:rPr>
        <w:t xml:space="preserve"> capaces de sostener y aceptar otros argumentos razonables complementan la decisión parlamentaria, la enriquecen y son aceptables a la lógica parlamentaria, es decir, la diferencia de las posturas ya no es solo partidista, sino que</w:t>
      </w:r>
      <w:r w:rsidR="0034168C">
        <w:rPr>
          <w:rFonts w:hAnsi="Times New Roman" w:cs="Times New Roman"/>
        </w:rPr>
        <w:t>,</w:t>
      </w:r>
      <w:r w:rsidRPr="00EE3D94">
        <w:rPr>
          <w:rFonts w:hAnsi="Times New Roman" w:cs="Times New Roman"/>
        </w:rPr>
        <w:t xml:space="preserve"> al ampliarse e incluir a los ciudadanos</w:t>
      </w:r>
      <w:r w:rsidR="0034168C">
        <w:rPr>
          <w:rFonts w:hAnsi="Times New Roman" w:cs="Times New Roman"/>
        </w:rPr>
        <w:t>,</w:t>
      </w:r>
      <w:r w:rsidRPr="00EE3D94">
        <w:rPr>
          <w:rFonts w:hAnsi="Times New Roman" w:cs="Times New Roman"/>
        </w:rPr>
        <w:t xml:space="preserve"> comprometen la conformación de leyes a pactos y negociaciones con grupos de ciudadanos participes de la decisión</w:t>
      </w:r>
      <w:r w:rsidR="001A2EB6" w:rsidRPr="00EE3D94">
        <w:rPr>
          <w:rFonts w:hAnsi="Times New Roman" w:cs="Times New Roman"/>
        </w:rPr>
        <w:t xml:space="preserve"> (Nino, 2003)</w:t>
      </w:r>
      <w:r w:rsidRPr="00EE3D94">
        <w:rPr>
          <w:rFonts w:hAnsi="Times New Roman" w:cs="Times New Roman"/>
        </w:rPr>
        <w:t xml:space="preserve">. </w:t>
      </w:r>
    </w:p>
    <w:p w14:paraId="35ED695D" w14:textId="17597430" w:rsidR="00767227" w:rsidRDefault="00C859F0" w:rsidP="008461D0">
      <w:pPr>
        <w:pStyle w:val="Cuerpo"/>
        <w:spacing w:before="120" w:after="120" w:line="360" w:lineRule="auto"/>
        <w:ind w:firstLine="708"/>
        <w:jc w:val="both"/>
        <w:rPr>
          <w:rFonts w:hAnsi="Times New Roman" w:cs="Times New Roman"/>
        </w:rPr>
      </w:pPr>
      <w:r w:rsidRPr="00EE3D94">
        <w:rPr>
          <w:rFonts w:hAnsi="Times New Roman" w:cs="Times New Roman"/>
        </w:rPr>
        <w:lastRenderedPageBreak/>
        <w:t xml:space="preserve">Visto así, se puede identificar una radio de inclusión que se amplía o reduce en tanto los argumentos son más o menos especializados, así como los rangos de accesibilidad dentro del marco normativo anteriormente comentado. Por ejemplo, en la opinión y la consulta, la inclusión es y debe ser mayor, sobre todo si es obligada. Las peticiones de reforma o modificaciones de leyes, vía iniciativa popular, dependen de los requerimientos de la convocatoria, </w:t>
      </w:r>
      <w:r w:rsidR="007C00D7" w:rsidRPr="00EE3D94">
        <w:rPr>
          <w:rFonts w:hAnsi="Times New Roman" w:cs="Times New Roman"/>
        </w:rPr>
        <w:t>como lo muestra</w:t>
      </w:r>
      <w:r w:rsidRPr="00EE3D94">
        <w:rPr>
          <w:rFonts w:hAnsi="Times New Roman" w:cs="Times New Roman"/>
        </w:rPr>
        <w:t xml:space="preserve"> el requisito de porcentajes mínimos del total de los empadronados. Los foros consultivos son aún más reducidos en tanto </w:t>
      </w:r>
      <w:r w:rsidR="000B1D10">
        <w:rPr>
          <w:rFonts w:hAnsi="Times New Roman" w:cs="Times New Roman"/>
        </w:rPr>
        <w:t xml:space="preserve">que </w:t>
      </w:r>
      <w:r w:rsidRPr="00EE3D94">
        <w:rPr>
          <w:rFonts w:hAnsi="Times New Roman" w:cs="Times New Roman"/>
        </w:rPr>
        <w:t xml:space="preserve">son participes los directamente afectados o interesados y pueden ser invitados a las sesiones de discusión de las comisiones o comités legislativos que abren sus puertas a dicha opinión. El debate o </w:t>
      </w:r>
      <w:r w:rsidR="000B1D10">
        <w:rPr>
          <w:rFonts w:hAnsi="Times New Roman" w:cs="Times New Roman"/>
        </w:rPr>
        <w:t xml:space="preserve">la </w:t>
      </w:r>
      <w:r w:rsidRPr="00EE3D94">
        <w:rPr>
          <w:rFonts w:hAnsi="Times New Roman" w:cs="Times New Roman"/>
        </w:rPr>
        <w:t xml:space="preserve">consulta a especialistas </w:t>
      </w:r>
      <w:r w:rsidR="000B1D10">
        <w:rPr>
          <w:rFonts w:hAnsi="Times New Roman" w:cs="Times New Roman"/>
        </w:rPr>
        <w:t xml:space="preserve">se </w:t>
      </w:r>
      <w:r w:rsidRPr="00EE3D94">
        <w:rPr>
          <w:rFonts w:hAnsi="Times New Roman" w:cs="Times New Roman"/>
        </w:rPr>
        <w:t xml:space="preserve">reduce o deja en manos de promotores especializados que pueden influir en los congresistas y sus partidos con su voz, </w:t>
      </w:r>
      <w:r w:rsidR="000B1D10">
        <w:rPr>
          <w:rFonts w:hAnsi="Times New Roman" w:cs="Times New Roman"/>
        </w:rPr>
        <w:t>aunque</w:t>
      </w:r>
      <w:r w:rsidRPr="00EE3D94">
        <w:rPr>
          <w:rFonts w:hAnsi="Times New Roman" w:cs="Times New Roman"/>
        </w:rPr>
        <w:t xml:space="preserve"> no cuenten con voto. Finalmente, el reconocimiento del cabildeo da acceso directo a grupos de interés, promotores o especialistas a las decisiones legislativas, </w:t>
      </w:r>
      <w:r w:rsidR="00DD6D63" w:rsidRPr="00EE3D94">
        <w:rPr>
          <w:rFonts w:hAnsi="Times New Roman" w:cs="Times New Roman"/>
        </w:rPr>
        <w:t>muchas veces</w:t>
      </w:r>
      <w:r w:rsidRPr="00EE3D94">
        <w:rPr>
          <w:rFonts w:hAnsi="Times New Roman" w:cs="Times New Roman"/>
        </w:rPr>
        <w:t xml:space="preserve"> gestionadas por los propios promotores (ver figura 2).</w:t>
      </w:r>
    </w:p>
    <w:p w14:paraId="5E1A6287" w14:textId="30726C24" w:rsidR="0084137A" w:rsidRDefault="006E573F" w:rsidP="006735A7">
      <w:pPr>
        <w:spacing w:line="360" w:lineRule="auto"/>
        <w:ind w:firstLine="708"/>
        <w:jc w:val="both"/>
        <w:rPr>
          <w:noProof/>
          <w:lang w:val="es-ES" w:eastAsia="es-ES"/>
        </w:rPr>
      </w:pPr>
      <w:r w:rsidRPr="006E573F">
        <w:rPr>
          <w:b/>
          <w:noProof/>
          <w:lang w:val="es-ES" w:eastAsia="es-ES"/>
        </w:rPr>
        <w:t>Figura 2</w:t>
      </w:r>
      <w:r>
        <w:rPr>
          <w:noProof/>
          <w:lang w:val="es-ES" w:eastAsia="es-ES"/>
        </w:rPr>
        <w:t>. Radio de inclusión legislativa en parlamentos abiertos</w:t>
      </w:r>
    </w:p>
    <w:p w14:paraId="131BE6D0" w14:textId="51AC5979" w:rsidR="006E573F" w:rsidRDefault="006E573F" w:rsidP="006735A7">
      <w:pPr>
        <w:spacing w:line="360" w:lineRule="auto"/>
        <w:ind w:firstLine="708"/>
        <w:jc w:val="both"/>
        <w:rPr>
          <w:lang w:val="es-ES_tradnl"/>
        </w:rPr>
      </w:pPr>
      <w:r>
        <w:rPr>
          <w:noProof/>
          <w:lang w:val="es-ES" w:eastAsia="es-ES"/>
        </w:rPr>
        <w:drawing>
          <wp:inline distT="0" distB="0" distL="0" distR="0" wp14:anchorId="5D436A5C" wp14:editId="6233D8D2">
            <wp:extent cx="4439999" cy="3579495"/>
            <wp:effectExtent l="0" t="0" r="5080" b="1905"/>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0513" cy="3579909"/>
                    </a:xfrm>
                    <a:prstGeom prst="rect">
                      <a:avLst/>
                    </a:prstGeom>
                    <a:noFill/>
                    <a:ln>
                      <a:noFill/>
                    </a:ln>
                  </pic:spPr>
                </pic:pic>
              </a:graphicData>
            </a:graphic>
          </wp:inline>
        </w:drawing>
      </w:r>
    </w:p>
    <w:p w14:paraId="04B5A6B2" w14:textId="7A293149" w:rsidR="00AD59DF" w:rsidRPr="00ED2C5F" w:rsidRDefault="00AD59DF" w:rsidP="00AD59DF">
      <w:pPr>
        <w:spacing w:line="360" w:lineRule="auto"/>
        <w:ind w:firstLine="708"/>
        <w:jc w:val="center"/>
        <w:rPr>
          <w:szCs w:val="20"/>
          <w:lang w:val="es-ES_tradnl"/>
        </w:rPr>
      </w:pPr>
      <w:r w:rsidRPr="00ED2C5F">
        <w:rPr>
          <w:szCs w:val="20"/>
          <w:lang w:val="es-ES_tradnl"/>
        </w:rPr>
        <w:t>Fuente: Elaboración propia</w:t>
      </w:r>
    </w:p>
    <w:p w14:paraId="4185585C" w14:textId="1DDBEF32" w:rsidR="00C859F0" w:rsidRPr="00EE3D94" w:rsidRDefault="007C00D7" w:rsidP="006735A7">
      <w:pPr>
        <w:spacing w:line="360" w:lineRule="auto"/>
        <w:ind w:firstLine="708"/>
        <w:jc w:val="both"/>
        <w:rPr>
          <w:lang w:val="es-ES_tradnl" w:bidi="si-LK"/>
        </w:rPr>
      </w:pPr>
      <w:r w:rsidRPr="00EE3D94">
        <w:rPr>
          <w:lang w:val="es-ES_tradnl"/>
        </w:rPr>
        <w:lastRenderedPageBreak/>
        <w:t>Coincidiendo c</w:t>
      </w:r>
      <w:r w:rsidR="00C859F0" w:rsidRPr="00EE3D94">
        <w:rPr>
          <w:lang w:val="es-ES_tradnl"/>
        </w:rPr>
        <w:t xml:space="preserve">on Alejandra Betanzo de la Rosa </w:t>
      </w:r>
      <w:r w:rsidRPr="00EE3D94">
        <w:rPr>
          <w:lang w:val="es-ES_tradnl"/>
        </w:rPr>
        <w:t>(2008)</w:t>
      </w:r>
      <w:r w:rsidR="00184652" w:rsidRPr="00EE3D94">
        <w:rPr>
          <w:lang w:val="es-ES_tradnl"/>
        </w:rPr>
        <w:t>,</w:t>
      </w:r>
      <w:r w:rsidRPr="00EE3D94">
        <w:rPr>
          <w:lang w:val="es-ES_tradnl"/>
        </w:rPr>
        <w:t xml:space="preserve"> </w:t>
      </w:r>
      <w:r w:rsidR="00C859F0" w:rsidRPr="00EE3D94">
        <w:rPr>
          <w:lang w:val="es-ES_tradnl" w:bidi="si-LK"/>
        </w:rPr>
        <w:t>transparentar la</w:t>
      </w:r>
      <w:r w:rsidR="00C859F0" w:rsidRPr="00EE3D94">
        <w:rPr>
          <w:lang w:val="es-ES_tradnl"/>
        </w:rPr>
        <w:t xml:space="preserve"> </w:t>
      </w:r>
      <w:r w:rsidR="00C859F0" w:rsidRPr="00EE3D94">
        <w:rPr>
          <w:lang w:val="es-ES_tradnl" w:bidi="si-LK"/>
        </w:rPr>
        <w:t>toma de decisiones tiende a producir políticas que evitan el predominio</w:t>
      </w:r>
      <w:r w:rsidR="00C859F0" w:rsidRPr="00EE3D94">
        <w:rPr>
          <w:lang w:val="es-ES_tradnl"/>
        </w:rPr>
        <w:t xml:space="preserve"> </w:t>
      </w:r>
      <w:r w:rsidR="00C859F0" w:rsidRPr="00EE3D94">
        <w:rPr>
          <w:lang w:val="es-ES_tradnl" w:bidi="si-LK"/>
        </w:rPr>
        <w:t>de unos cuantos intereses por encima del resto. Por tanto, los</w:t>
      </w:r>
      <w:r w:rsidR="00C859F0" w:rsidRPr="00EE3D94">
        <w:rPr>
          <w:lang w:val="es-ES_tradnl"/>
        </w:rPr>
        <w:t xml:space="preserve"> </w:t>
      </w:r>
      <w:r w:rsidR="00C859F0" w:rsidRPr="00EE3D94">
        <w:rPr>
          <w:lang w:val="es-ES_tradnl" w:bidi="si-LK"/>
        </w:rPr>
        <w:t>arreglos institucionales inclusivos permiten la amplia participación de</w:t>
      </w:r>
      <w:r w:rsidR="00C859F0" w:rsidRPr="00EE3D94">
        <w:rPr>
          <w:lang w:val="es-ES_tradnl"/>
        </w:rPr>
        <w:t xml:space="preserve"> </w:t>
      </w:r>
      <w:r w:rsidR="00C859F0" w:rsidRPr="00EE3D94">
        <w:rPr>
          <w:lang w:val="es-ES_tradnl" w:bidi="si-LK"/>
        </w:rPr>
        <w:t>los actores interesados y abren la posibilidad de poner sobre la mesa</w:t>
      </w:r>
      <w:r w:rsidR="00C859F0" w:rsidRPr="00EE3D94">
        <w:rPr>
          <w:lang w:val="es-ES_tradnl"/>
        </w:rPr>
        <w:t xml:space="preserve"> </w:t>
      </w:r>
      <w:r w:rsidR="00C859F0" w:rsidRPr="00EE3D94">
        <w:rPr>
          <w:lang w:val="es-ES_tradnl" w:bidi="si-LK"/>
        </w:rPr>
        <w:t>una visión más completa de determinado problema, de contrastar ideas</w:t>
      </w:r>
      <w:r w:rsidR="00C859F0" w:rsidRPr="00EE3D94">
        <w:rPr>
          <w:lang w:val="es-ES_tradnl"/>
        </w:rPr>
        <w:t xml:space="preserve"> </w:t>
      </w:r>
      <w:r w:rsidR="00C859F0" w:rsidRPr="00EE3D94">
        <w:rPr>
          <w:lang w:val="es-ES_tradnl" w:bidi="si-LK"/>
        </w:rPr>
        <w:t>discordantes y de contar con información proveniente de fuentes plurales.</w:t>
      </w:r>
      <w:r w:rsidR="00C859F0" w:rsidRPr="00EE3D94">
        <w:rPr>
          <w:lang w:val="es-ES_tradnl"/>
        </w:rPr>
        <w:t xml:space="preserve"> </w:t>
      </w:r>
      <w:r w:rsidR="00C859F0" w:rsidRPr="00EE3D94">
        <w:rPr>
          <w:lang w:val="es-ES_tradnl" w:bidi="si-LK"/>
        </w:rPr>
        <w:t>Por tanto, la existencia de mecanismos que permitan transparentar</w:t>
      </w:r>
      <w:r w:rsidR="00C859F0" w:rsidRPr="00EE3D94">
        <w:rPr>
          <w:lang w:val="es-ES_tradnl"/>
        </w:rPr>
        <w:t xml:space="preserve"> </w:t>
      </w:r>
      <w:r w:rsidR="00C859F0" w:rsidRPr="00EE3D94">
        <w:rPr>
          <w:lang w:val="es-ES_tradnl" w:bidi="si-LK"/>
        </w:rPr>
        <w:t>los procesos de toma de decisiones hace posible que todos</w:t>
      </w:r>
      <w:r w:rsidR="00C859F0" w:rsidRPr="00EE3D94">
        <w:rPr>
          <w:lang w:val="es-ES_tradnl"/>
        </w:rPr>
        <w:t xml:space="preserve"> </w:t>
      </w:r>
      <w:r w:rsidR="00C859F0" w:rsidRPr="00EE3D94">
        <w:rPr>
          <w:lang w:val="es-ES_tradnl" w:bidi="si-LK"/>
        </w:rPr>
        <w:t>los interesados puedan conocer no solo cómo se tomó la decisión, sino</w:t>
      </w:r>
      <w:r w:rsidR="00C859F0" w:rsidRPr="00EE3D94">
        <w:rPr>
          <w:lang w:val="es-ES_tradnl"/>
        </w:rPr>
        <w:t xml:space="preserve"> </w:t>
      </w:r>
      <w:r w:rsidR="00C859F0" w:rsidRPr="00EE3D94">
        <w:rPr>
          <w:lang w:val="es-ES_tradnl" w:bidi="si-LK"/>
        </w:rPr>
        <w:t>quiénes participaron y cuál fue la racionalidad e información técnica</w:t>
      </w:r>
      <w:r w:rsidR="00C859F0" w:rsidRPr="00EE3D94">
        <w:rPr>
          <w:lang w:val="es-ES_tradnl"/>
        </w:rPr>
        <w:t xml:space="preserve"> </w:t>
      </w:r>
      <w:r w:rsidR="00C859F0" w:rsidRPr="00EE3D94">
        <w:rPr>
          <w:lang w:val="es-ES_tradnl" w:bidi="si-LK"/>
        </w:rPr>
        <w:t xml:space="preserve">que la orientó. </w:t>
      </w:r>
    </w:p>
    <w:p w14:paraId="339B97BE" w14:textId="19742430" w:rsidR="00C859F0" w:rsidRPr="00EE3D94" w:rsidRDefault="00C859F0" w:rsidP="006735A7">
      <w:pPr>
        <w:spacing w:line="360" w:lineRule="auto"/>
        <w:ind w:firstLine="708"/>
        <w:jc w:val="both"/>
        <w:rPr>
          <w:lang w:val="es-ES_tradnl" w:bidi="si-LK"/>
        </w:rPr>
      </w:pPr>
      <w:r w:rsidRPr="00EE3D94">
        <w:rPr>
          <w:lang w:val="es-ES_tradnl" w:bidi="si-LK"/>
        </w:rPr>
        <w:t>Daniel Zovatto</w:t>
      </w:r>
      <w:r w:rsidR="007C00D7" w:rsidRPr="00EE3D94">
        <w:rPr>
          <w:lang w:val="es-ES_tradnl" w:bidi="si-LK"/>
        </w:rPr>
        <w:t xml:space="preserve"> (2014)</w:t>
      </w:r>
      <w:r w:rsidRPr="00EE3D94">
        <w:rPr>
          <w:lang w:val="es-ES_tradnl" w:bidi="si-LK"/>
        </w:rPr>
        <w:t xml:space="preserve"> identifica </w:t>
      </w:r>
      <w:r w:rsidR="000B1D10">
        <w:rPr>
          <w:lang w:val="es-ES_tradnl" w:bidi="si-LK"/>
        </w:rPr>
        <w:t xml:space="preserve">los </w:t>
      </w:r>
      <w:r w:rsidRPr="00EE3D94">
        <w:rPr>
          <w:lang w:val="es-ES_tradnl" w:bidi="si-LK"/>
        </w:rPr>
        <w:t>tres tipos de mecanismos de participación directa</w:t>
      </w:r>
      <w:r w:rsidR="007C00D7" w:rsidRPr="00EE3D94">
        <w:rPr>
          <w:lang w:val="es-ES_tradnl" w:bidi="si-LK"/>
        </w:rPr>
        <w:t xml:space="preserve"> más utilizados en la región latinoamericana</w:t>
      </w:r>
      <w:r w:rsidRPr="00EE3D94">
        <w:rPr>
          <w:lang w:val="es-ES_tradnl" w:bidi="si-LK"/>
        </w:rPr>
        <w:t>: consultivos (referéndum y plebiscitos</w:t>
      </w:r>
      <w:r w:rsidR="000B1D10" w:rsidRPr="00EE3D94">
        <w:rPr>
          <w:lang w:val="es-ES_tradnl" w:bidi="si-LK"/>
        </w:rPr>
        <w:t>)</w:t>
      </w:r>
      <w:r w:rsidR="000B1D10">
        <w:rPr>
          <w:lang w:val="es-ES_tradnl" w:bidi="si-LK"/>
        </w:rPr>
        <w:t>,</w:t>
      </w:r>
      <w:r w:rsidR="000B1D10" w:rsidRPr="00EE3D94">
        <w:rPr>
          <w:lang w:val="es-ES_tradnl" w:bidi="si-LK"/>
        </w:rPr>
        <w:t xml:space="preserve"> </w:t>
      </w:r>
      <w:r w:rsidRPr="00EE3D94">
        <w:rPr>
          <w:lang w:val="es-ES_tradnl" w:bidi="si-LK"/>
        </w:rPr>
        <w:t xml:space="preserve">iniciativa legislativa y mandato revocatorio. </w:t>
      </w:r>
    </w:p>
    <w:p w14:paraId="73191116" w14:textId="60D34E0B" w:rsidR="00C859F0" w:rsidRPr="00EE3D94" w:rsidRDefault="00C859F0" w:rsidP="006735A7">
      <w:pPr>
        <w:spacing w:line="360" w:lineRule="auto"/>
        <w:ind w:firstLine="708"/>
        <w:jc w:val="both"/>
        <w:rPr>
          <w:lang w:val="es-ES_tradnl" w:bidi="si-LK"/>
        </w:rPr>
      </w:pPr>
      <w:r w:rsidRPr="00767227">
        <w:rPr>
          <w:lang w:val="es-ES_tradnl" w:bidi="si-LK"/>
        </w:rPr>
        <w:t>En el ámbito consultivo</w:t>
      </w:r>
      <w:r w:rsidR="000B1D10">
        <w:rPr>
          <w:lang w:val="es-ES_tradnl" w:bidi="si-LK"/>
        </w:rPr>
        <w:t>,</w:t>
      </w:r>
      <w:r w:rsidRPr="00767227">
        <w:rPr>
          <w:lang w:val="es-ES_tradnl" w:bidi="si-LK"/>
        </w:rPr>
        <w:t xml:space="preserve"> los referéndums y plebiscitos han sido un instrumento altamente utilizado por los ciudadanos en Latinoamérica para aprobar, revocar o ratificar cambios constitucionales, leyes secundarias, políticas públicas, tratados internacionales e</w:t>
      </w:r>
      <w:r w:rsidR="000B1D10">
        <w:rPr>
          <w:lang w:val="es-ES_tradnl" w:bidi="si-LK"/>
        </w:rPr>
        <w:t>,</w:t>
      </w:r>
      <w:r w:rsidRPr="00767227">
        <w:rPr>
          <w:lang w:val="es-ES_tradnl" w:bidi="si-LK"/>
        </w:rPr>
        <w:t xml:space="preserve"> incluso</w:t>
      </w:r>
      <w:r w:rsidR="000B1D10">
        <w:rPr>
          <w:lang w:val="es-ES_tradnl" w:bidi="si-LK"/>
        </w:rPr>
        <w:t>,</w:t>
      </w:r>
      <w:r w:rsidRPr="00767227">
        <w:rPr>
          <w:lang w:val="es-ES_tradnl" w:bidi="si-LK"/>
        </w:rPr>
        <w:t xml:space="preserve"> como termómetro aprobatorio de las figuras presidenciales.</w:t>
      </w:r>
      <w:r w:rsidRPr="00EE3D94">
        <w:rPr>
          <w:lang w:val="es-ES_tradnl" w:bidi="si-LK"/>
        </w:rPr>
        <w:t xml:space="preserve"> De 1978 a 2012, Zovatto </w:t>
      </w:r>
      <w:r w:rsidR="007C00D7" w:rsidRPr="00EE3D94">
        <w:rPr>
          <w:lang w:val="es-ES_tradnl" w:bidi="si-LK"/>
        </w:rPr>
        <w:t xml:space="preserve">(2014) </w:t>
      </w:r>
      <w:r w:rsidR="003E2FF2" w:rsidRPr="00EE3D94">
        <w:rPr>
          <w:lang w:val="es-ES_tradnl" w:bidi="si-LK"/>
        </w:rPr>
        <w:t>registró</w:t>
      </w:r>
      <w:r w:rsidRPr="00EE3D94">
        <w:rPr>
          <w:lang w:val="es-ES_tradnl" w:bidi="si-LK"/>
        </w:rPr>
        <w:t xml:space="preserve"> un total de 50 consultas populares, d</w:t>
      </w:r>
      <w:r w:rsidR="003E2FF2" w:rsidRPr="00EE3D94">
        <w:rPr>
          <w:lang w:val="es-ES_tradnl" w:bidi="si-LK"/>
        </w:rPr>
        <w:t>onde 80</w:t>
      </w:r>
      <w:r w:rsidR="000B1D10">
        <w:rPr>
          <w:lang w:val="es-ES_tradnl" w:bidi="si-LK"/>
        </w:rPr>
        <w:t xml:space="preserve"> </w:t>
      </w:r>
      <w:r w:rsidR="003E2FF2" w:rsidRPr="00EE3D94">
        <w:rPr>
          <w:lang w:val="es-ES_tradnl" w:bidi="si-LK"/>
        </w:rPr>
        <w:t xml:space="preserve">% se </w:t>
      </w:r>
      <w:r w:rsidR="000B1D10" w:rsidRPr="00EE3D94">
        <w:rPr>
          <w:lang w:val="es-ES_tradnl" w:bidi="si-LK"/>
        </w:rPr>
        <w:t>promovi</w:t>
      </w:r>
      <w:r w:rsidR="000B1D10">
        <w:rPr>
          <w:lang w:val="es-ES_tradnl" w:bidi="si-LK"/>
        </w:rPr>
        <w:t>ó</w:t>
      </w:r>
      <w:r w:rsidR="000B1D10" w:rsidRPr="00EE3D94">
        <w:rPr>
          <w:lang w:val="es-ES_tradnl" w:bidi="si-LK"/>
        </w:rPr>
        <w:t xml:space="preserve"> </w:t>
      </w:r>
      <w:r w:rsidRPr="00EE3D94">
        <w:rPr>
          <w:lang w:val="es-ES_tradnl" w:bidi="si-LK"/>
        </w:rPr>
        <w:t xml:space="preserve">entre la década de 1990 y la primera del 2000. Es decir, la mayor utilización de instrumentos </w:t>
      </w:r>
      <w:r w:rsidR="003E2FF2" w:rsidRPr="00EE3D94">
        <w:rPr>
          <w:lang w:val="es-ES_tradnl" w:bidi="si-LK"/>
        </w:rPr>
        <w:t xml:space="preserve">se dio </w:t>
      </w:r>
      <w:r w:rsidRPr="00EE3D94">
        <w:rPr>
          <w:lang w:val="es-ES_tradnl" w:bidi="si-LK"/>
        </w:rPr>
        <w:t>a partir de las transiciones democráticas. Uruguay es el país que más ha utilizado la consulta en 28</w:t>
      </w:r>
      <w:r w:rsidR="000B1D10">
        <w:rPr>
          <w:lang w:val="es-ES_tradnl" w:bidi="si-LK"/>
        </w:rPr>
        <w:t xml:space="preserve"> </w:t>
      </w:r>
      <w:r w:rsidRPr="00EE3D94">
        <w:rPr>
          <w:lang w:val="es-ES_tradnl" w:bidi="si-LK"/>
        </w:rPr>
        <w:t xml:space="preserve">% de las ocasiones, en comparación con el resto de los países </w:t>
      </w:r>
      <w:r w:rsidR="000B1D10">
        <w:rPr>
          <w:lang w:val="es-ES_tradnl" w:bidi="si-LK"/>
        </w:rPr>
        <w:t>l</w:t>
      </w:r>
      <w:r w:rsidR="000B1D10" w:rsidRPr="00EE3D94">
        <w:rPr>
          <w:lang w:val="es-ES_tradnl" w:bidi="si-LK"/>
        </w:rPr>
        <w:t>atinoamericanos</w:t>
      </w:r>
      <w:r w:rsidRPr="00EE3D94">
        <w:rPr>
          <w:lang w:val="es-ES_tradnl" w:bidi="si-LK"/>
        </w:rPr>
        <w:t xml:space="preserve">. </w:t>
      </w:r>
      <w:r w:rsidR="003E2FF2" w:rsidRPr="00EE3D94">
        <w:rPr>
          <w:lang w:val="es-ES_tradnl" w:bidi="si-LK"/>
        </w:rPr>
        <w:t>De los paíse</w:t>
      </w:r>
      <w:r w:rsidR="000B1D10">
        <w:rPr>
          <w:lang w:val="es-ES_tradnl" w:bidi="si-LK"/>
        </w:rPr>
        <w:t>s</w:t>
      </w:r>
      <w:r w:rsidRPr="00EE3D94">
        <w:rPr>
          <w:lang w:val="es-ES_tradnl" w:bidi="si-LK"/>
        </w:rPr>
        <w:t xml:space="preserve"> </w:t>
      </w:r>
      <w:r w:rsidR="003E2FF2" w:rsidRPr="00EE3D94">
        <w:rPr>
          <w:lang w:val="es-ES_tradnl" w:bidi="si-LK"/>
        </w:rPr>
        <w:t xml:space="preserve">que </w:t>
      </w:r>
      <w:r w:rsidRPr="00EE3D94">
        <w:rPr>
          <w:lang w:val="es-ES_tradnl" w:bidi="si-LK"/>
        </w:rPr>
        <w:t xml:space="preserve">menos han hecho uso </w:t>
      </w:r>
      <w:r w:rsidR="003E2FF2" w:rsidRPr="00EE3D94">
        <w:rPr>
          <w:lang w:val="es-ES_tradnl" w:bidi="si-LK"/>
        </w:rPr>
        <w:t xml:space="preserve">de este tipo de instrumentos </w:t>
      </w:r>
      <w:r w:rsidR="000B1D10">
        <w:rPr>
          <w:lang w:val="es-ES_tradnl" w:bidi="si-LK"/>
        </w:rPr>
        <w:t>se encuentran</w:t>
      </w:r>
      <w:r w:rsidRPr="00EE3D94">
        <w:rPr>
          <w:lang w:val="es-ES_tradnl" w:bidi="si-LK"/>
        </w:rPr>
        <w:t xml:space="preserve"> Argentina (una ocasión) y Brasil (dos ocasiones)</w:t>
      </w:r>
      <w:r w:rsidR="000B1D10">
        <w:rPr>
          <w:lang w:val="es-ES_tradnl" w:bidi="si-LK"/>
        </w:rPr>
        <w:t>,</w:t>
      </w:r>
      <w:r w:rsidRPr="00EE3D94">
        <w:rPr>
          <w:lang w:val="es-ES_tradnl" w:bidi="si-LK"/>
        </w:rPr>
        <w:t xml:space="preserve"> dado lo acotado de los instrumentos</w:t>
      </w:r>
      <w:r w:rsidR="000B1D10">
        <w:rPr>
          <w:lang w:val="es-ES_tradnl" w:bidi="si-LK"/>
        </w:rPr>
        <w:t>,</w:t>
      </w:r>
      <w:r w:rsidRPr="00EE3D94">
        <w:rPr>
          <w:lang w:val="es-ES_tradnl" w:bidi="si-LK"/>
        </w:rPr>
        <w:t xml:space="preserve"> y México (nunca utilizado), </w:t>
      </w:r>
      <w:r w:rsidR="000B1D10">
        <w:rPr>
          <w:lang w:val="es-ES_tradnl" w:bidi="si-LK"/>
        </w:rPr>
        <w:t>que,</w:t>
      </w:r>
      <w:r w:rsidR="000B1D10" w:rsidRPr="00EE3D94">
        <w:rPr>
          <w:lang w:val="es-ES_tradnl" w:bidi="si-LK"/>
        </w:rPr>
        <w:t xml:space="preserve"> </w:t>
      </w:r>
      <w:r w:rsidRPr="00EE3D94">
        <w:rPr>
          <w:lang w:val="es-ES_tradnl" w:bidi="si-LK"/>
        </w:rPr>
        <w:t>hasta 2012</w:t>
      </w:r>
      <w:r w:rsidR="000B1D10">
        <w:rPr>
          <w:lang w:val="es-ES_tradnl" w:bidi="si-LK"/>
        </w:rPr>
        <w:t>,</w:t>
      </w:r>
      <w:r w:rsidRPr="00EE3D94">
        <w:rPr>
          <w:lang w:val="es-ES_tradnl" w:bidi="si-LK"/>
        </w:rPr>
        <w:t xml:space="preserve"> no reguló dichos instrumentos en su </w:t>
      </w:r>
      <w:r w:rsidR="000B1D10">
        <w:rPr>
          <w:lang w:val="es-ES_tradnl" w:bidi="si-LK"/>
        </w:rPr>
        <w:t>c</w:t>
      </w:r>
      <w:r w:rsidR="000B1D10" w:rsidRPr="00EE3D94">
        <w:rPr>
          <w:lang w:val="es-ES_tradnl" w:bidi="si-LK"/>
        </w:rPr>
        <w:t>onstitución</w:t>
      </w:r>
      <w:r w:rsidRPr="00EE3D94">
        <w:rPr>
          <w:lang w:val="es-ES_tradnl" w:bidi="si-LK"/>
        </w:rPr>
        <w:t>.</w:t>
      </w:r>
    </w:p>
    <w:p w14:paraId="23B17A9F" w14:textId="51CBA1C1" w:rsidR="00C859F0" w:rsidRPr="00EE3D94" w:rsidRDefault="00C859F0" w:rsidP="006735A7">
      <w:pPr>
        <w:spacing w:line="360" w:lineRule="auto"/>
        <w:ind w:firstLine="708"/>
        <w:jc w:val="both"/>
        <w:rPr>
          <w:lang w:val="es-ES_tradnl" w:bidi="si-LK"/>
        </w:rPr>
      </w:pPr>
      <w:r w:rsidRPr="00EE3D94">
        <w:rPr>
          <w:lang w:val="es-ES_tradnl" w:bidi="si-LK"/>
        </w:rPr>
        <w:t>Otro instrumento es la iniciativa legislativa como el derecho de los ciudadanos a proponer proyectos de ley y reformas constitucionales totales o parciales. Este derecho ha tenido un uso limitado</w:t>
      </w:r>
      <w:r w:rsidR="000B1D10">
        <w:rPr>
          <w:lang w:val="es-ES_tradnl" w:bidi="si-LK"/>
        </w:rPr>
        <w:t>,</w:t>
      </w:r>
      <w:r w:rsidRPr="00EE3D94">
        <w:rPr>
          <w:lang w:val="es-ES_tradnl" w:bidi="si-LK"/>
        </w:rPr>
        <w:t xml:space="preserve"> dado que</w:t>
      </w:r>
      <w:r w:rsidR="000B1D10">
        <w:rPr>
          <w:lang w:val="es-ES_tradnl" w:bidi="si-LK"/>
        </w:rPr>
        <w:t>,</w:t>
      </w:r>
      <w:r w:rsidRPr="00EE3D94">
        <w:rPr>
          <w:lang w:val="es-ES_tradnl" w:bidi="si-LK"/>
        </w:rPr>
        <w:t xml:space="preserve"> en su mayoría</w:t>
      </w:r>
      <w:r w:rsidR="000B1D10">
        <w:rPr>
          <w:lang w:val="es-ES_tradnl" w:bidi="si-LK"/>
        </w:rPr>
        <w:t>,</w:t>
      </w:r>
      <w:r w:rsidRPr="00EE3D94">
        <w:rPr>
          <w:lang w:val="es-ES_tradnl" w:bidi="si-LK"/>
        </w:rPr>
        <w:t xml:space="preserve"> depende de la decisión de los legisladores para que una iniciativa ciudadana sea o no considerada en la agenda legislativa. Solo Uruguay, Colombia, Perú y Ecuador integran mecanismos que sobrepasan la evaluación </w:t>
      </w:r>
      <w:r w:rsidRPr="00EE3D94">
        <w:rPr>
          <w:lang w:val="es-ES_tradnl" w:bidi="si-LK"/>
        </w:rPr>
        <w:lastRenderedPageBreak/>
        <w:t>parlamentaria y directamente pueden ser sometidos a la consulta popular para su rápida resolución.</w:t>
      </w:r>
      <w:r w:rsidR="007C00D7" w:rsidRPr="00EE3D94">
        <w:rPr>
          <w:rStyle w:val="Refdenotaalpie"/>
          <w:lang w:val="es-ES_tradnl" w:bidi="si-LK"/>
        </w:rPr>
        <w:footnoteReference w:id="11"/>
      </w:r>
    </w:p>
    <w:p w14:paraId="6AB9E260" w14:textId="1DB0C95B" w:rsidR="00C859F0" w:rsidRPr="00EE3D94" w:rsidRDefault="00C859F0" w:rsidP="006735A7">
      <w:pPr>
        <w:spacing w:line="360" w:lineRule="auto"/>
        <w:ind w:firstLine="708"/>
        <w:jc w:val="both"/>
        <w:rPr>
          <w:lang w:val="es-ES_tradnl" w:bidi="si-LK"/>
        </w:rPr>
      </w:pPr>
      <w:r w:rsidRPr="00EE3D94">
        <w:rPr>
          <w:lang w:val="es-ES_tradnl" w:bidi="si-LK"/>
        </w:rPr>
        <w:t xml:space="preserve">Finalmente, la revocación del mandato es un instrumento que tiene como efecto anular el mandato del titular de elección popular, resultado de un proceso de consulta del mismo. Bolivia, Ecuador, Panamá y Venezuela tienen esta figura a nivel nacional; </w:t>
      </w:r>
      <w:r w:rsidR="007C00D7" w:rsidRPr="00EE3D94">
        <w:rPr>
          <w:lang w:val="es-ES_tradnl" w:bidi="si-LK"/>
        </w:rPr>
        <w:t xml:space="preserve">en la mayoría de los países se </w:t>
      </w:r>
      <w:r w:rsidRPr="00EE3D94">
        <w:rPr>
          <w:lang w:val="es-ES_tradnl" w:bidi="si-LK"/>
        </w:rPr>
        <w:t xml:space="preserve">carece de </w:t>
      </w:r>
      <w:r w:rsidR="007C00D7" w:rsidRPr="00EE3D94">
        <w:rPr>
          <w:lang w:val="es-ES_tradnl" w:bidi="si-LK"/>
        </w:rPr>
        <w:t>este mecanismo</w:t>
      </w:r>
      <w:r w:rsidR="003E517C">
        <w:rPr>
          <w:lang w:val="es-ES_tradnl" w:bidi="si-LK"/>
        </w:rPr>
        <w:t>.</w:t>
      </w:r>
      <w:r w:rsidR="007C00D7" w:rsidRPr="00EE3D94">
        <w:rPr>
          <w:lang w:val="es-ES_tradnl" w:bidi="si-LK"/>
        </w:rPr>
        <w:t xml:space="preserve"> </w:t>
      </w:r>
      <w:r w:rsidR="003E517C">
        <w:rPr>
          <w:lang w:val="es-ES_tradnl" w:bidi="si-LK"/>
        </w:rPr>
        <w:t>T</w:t>
      </w:r>
      <w:r w:rsidR="003E517C" w:rsidRPr="00EE3D94">
        <w:rPr>
          <w:lang w:val="es-ES_tradnl" w:bidi="si-LK"/>
        </w:rPr>
        <w:t>a</w:t>
      </w:r>
      <w:r w:rsidR="003E517C">
        <w:rPr>
          <w:lang w:val="es-ES_tradnl" w:bidi="si-LK"/>
        </w:rPr>
        <w:t>l</w:t>
      </w:r>
      <w:r w:rsidR="003E517C" w:rsidRPr="00EE3D94">
        <w:rPr>
          <w:lang w:val="es-ES_tradnl" w:bidi="si-LK"/>
        </w:rPr>
        <w:t xml:space="preserve"> </w:t>
      </w:r>
      <w:r w:rsidR="007C00D7" w:rsidRPr="00EE3D94">
        <w:rPr>
          <w:lang w:val="es-ES_tradnl" w:bidi="si-LK"/>
        </w:rPr>
        <w:t>es el caso de</w:t>
      </w:r>
      <w:r w:rsidRPr="00EE3D94">
        <w:rPr>
          <w:lang w:val="es-ES_tradnl" w:bidi="si-LK"/>
        </w:rPr>
        <w:t xml:space="preserve"> México, Bolivia, Brasil, Costa Rica, El Salvador, Guatemala, Honduras, Nicaragua, Paraguay, </w:t>
      </w:r>
      <w:r w:rsidR="003E517C">
        <w:rPr>
          <w:lang w:val="es-ES_tradnl" w:bidi="si-LK"/>
        </w:rPr>
        <w:t>R</w:t>
      </w:r>
      <w:r w:rsidR="003E517C" w:rsidRPr="00EE3D94">
        <w:rPr>
          <w:lang w:val="es-ES_tradnl" w:bidi="si-LK"/>
        </w:rPr>
        <w:t xml:space="preserve">epública </w:t>
      </w:r>
      <w:r w:rsidRPr="00EE3D94">
        <w:rPr>
          <w:lang w:val="es-ES_tradnl" w:bidi="si-LK"/>
        </w:rPr>
        <w:t xml:space="preserve">Dominicana y Uruguay. Algunos países consideran esta figura a nivel subnacional como Perú, Argentina, Colombia y Ecuador. </w:t>
      </w:r>
      <w:r w:rsidR="00DD6D63" w:rsidRPr="00EE3D94">
        <w:rPr>
          <w:rStyle w:val="Refdenotaalpie"/>
          <w:lang w:val="es-ES_tradnl" w:bidi="si-LK"/>
        </w:rPr>
        <w:footnoteReference w:id="12"/>
      </w:r>
    </w:p>
    <w:p w14:paraId="782E7B0D" w14:textId="36050B95" w:rsidR="00C859F0" w:rsidRDefault="00C859F0" w:rsidP="006735A7">
      <w:pPr>
        <w:spacing w:line="360" w:lineRule="auto"/>
        <w:ind w:firstLine="708"/>
        <w:jc w:val="both"/>
        <w:rPr>
          <w:lang w:val="es-ES_tradnl" w:bidi="si-LK"/>
        </w:rPr>
      </w:pPr>
      <w:r w:rsidRPr="00EE3D94">
        <w:rPr>
          <w:lang w:val="es-ES_tradnl" w:bidi="si-LK"/>
        </w:rPr>
        <w:t xml:space="preserve">En </w:t>
      </w:r>
      <w:r w:rsidRPr="00767227">
        <w:rPr>
          <w:lang w:val="es-ES_tradnl" w:bidi="si-LK"/>
        </w:rPr>
        <w:t>suma, los recursos institucionales de participación ciudadana son política y legalmente utilizados por los ciudadanos latinoamericanos</w:t>
      </w:r>
      <w:r w:rsidR="003E517C">
        <w:rPr>
          <w:lang w:val="es-ES_tradnl" w:bidi="si-LK"/>
        </w:rPr>
        <w:t>.</w:t>
      </w:r>
      <w:r w:rsidR="003E517C" w:rsidRPr="00767227">
        <w:rPr>
          <w:lang w:val="es-ES_tradnl" w:bidi="si-LK"/>
        </w:rPr>
        <w:t xml:space="preserve"> </w:t>
      </w:r>
      <w:r w:rsidR="003E517C">
        <w:rPr>
          <w:lang w:val="es-ES_tradnl" w:bidi="si-LK"/>
        </w:rPr>
        <w:t>S</w:t>
      </w:r>
      <w:r w:rsidR="003E517C" w:rsidRPr="00767227">
        <w:rPr>
          <w:lang w:val="es-ES_tradnl" w:bidi="si-LK"/>
        </w:rPr>
        <w:t xml:space="preserve">e </w:t>
      </w:r>
      <w:r w:rsidR="007C00D7" w:rsidRPr="00767227">
        <w:rPr>
          <w:lang w:val="es-ES_tradnl" w:bidi="si-LK"/>
        </w:rPr>
        <w:t xml:space="preserve">ha recurrido a estos </w:t>
      </w:r>
      <w:r w:rsidRPr="00767227">
        <w:rPr>
          <w:lang w:val="es-ES_tradnl" w:bidi="si-LK"/>
        </w:rPr>
        <w:t>paralelamente o en conjunto con los recursos de la representación parlamentaria.</w:t>
      </w:r>
      <w:r w:rsidRPr="00EE3D94">
        <w:rPr>
          <w:lang w:val="es-ES_tradnl" w:bidi="si-LK"/>
        </w:rPr>
        <w:t xml:space="preserve"> En general, se puede observar que aquellos países que mejor combinan los instrumentos de democracia directa con la representativa, son aquellos que mejor valoran las instituciones democráticas</w:t>
      </w:r>
      <w:r w:rsidR="003E517C">
        <w:rPr>
          <w:lang w:val="es-ES_tradnl" w:bidi="si-LK"/>
        </w:rPr>
        <w:t>.</w:t>
      </w:r>
      <w:r w:rsidR="003E517C" w:rsidRPr="00EE3D94">
        <w:rPr>
          <w:lang w:val="es-ES_tradnl" w:bidi="si-LK"/>
        </w:rPr>
        <w:t xml:space="preserve"> </w:t>
      </w:r>
      <w:r w:rsidR="003E517C">
        <w:rPr>
          <w:lang w:val="es-ES_tradnl" w:bidi="si-LK"/>
        </w:rPr>
        <w:t>L</w:t>
      </w:r>
      <w:r w:rsidR="003E517C" w:rsidRPr="00EE3D94">
        <w:rPr>
          <w:lang w:val="es-ES_tradnl" w:bidi="si-LK"/>
        </w:rPr>
        <w:t xml:space="preserve">o </w:t>
      </w:r>
      <w:r w:rsidRPr="00EE3D94">
        <w:rPr>
          <w:lang w:val="es-ES_tradnl" w:bidi="si-LK"/>
        </w:rPr>
        <w:t>mismo sucede en el manejo de la información</w:t>
      </w:r>
      <w:r w:rsidR="003E517C">
        <w:rPr>
          <w:lang w:val="es-ES_tradnl" w:bidi="si-LK"/>
        </w:rPr>
        <w:t>:</w:t>
      </w:r>
      <w:r w:rsidR="003E517C" w:rsidRPr="00EE3D94">
        <w:rPr>
          <w:lang w:val="es-ES_tradnl" w:bidi="si-LK"/>
        </w:rPr>
        <w:t xml:space="preserve"> </w:t>
      </w:r>
      <w:r w:rsidR="00040C74" w:rsidRPr="00EE3D94">
        <w:rPr>
          <w:lang w:val="es-ES_tradnl" w:bidi="si-LK"/>
        </w:rPr>
        <w:t xml:space="preserve">al incremento de la </w:t>
      </w:r>
      <w:r w:rsidRPr="00EE3D94">
        <w:rPr>
          <w:lang w:val="es-ES_tradnl" w:bidi="si-LK"/>
        </w:rPr>
        <w:t>comunicación directa entre los electores y s</w:t>
      </w:r>
      <w:r w:rsidR="00040C74" w:rsidRPr="00EE3D94">
        <w:rPr>
          <w:lang w:val="es-ES_tradnl" w:bidi="si-LK"/>
        </w:rPr>
        <w:t>us</w:t>
      </w:r>
      <w:r w:rsidRPr="00EE3D94">
        <w:rPr>
          <w:lang w:val="es-ES_tradnl" w:bidi="si-LK"/>
        </w:rPr>
        <w:t xml:space="preserve"> representantes, la posibilidad de incidencia </w:t>
      </w:r>
      <w:r w:rsidR="00040C74" w:rsidRPr="00EE3D94">
        <w:rPr>
          <w:lang w:val="es-ES_tradnl" w:bidi="si-LK"/>
        </w:rPr>
        <w:t xml:space="preserve">legislativa </w:t>
      </w:r>
      <w:r w:rsidRPr="00EE3D94">
        <w:rPr>
          <w:lang w:val="es-ES_tradnl" w:bidi="si-LK"/>
        </w:rPr>
        <w:t>es mayor.</w:t>
      </w:r>
    </w:p>
    <w:p w14:paraId="7A9A2C11" w14:textId="07997952" w:rsidR="003267AC" w:rsidRDefault="003267AC" w:rsidP="006735A7">
      <w:pPr>
        <w:spacing w:line="360" w:lineRule="auto"/>
        <w:ind w:firstLine="708"/>
        <w:jc w:val="both"/>
        <w:rPr>
          <w:lang w:val="es-ES_tradnl" w:bidi="si-LK"/>
        </w:rPr>
      </w:pPr>
    </w:p>
    <w:p w14:paraId="25CFFD0E" w14:textId="372BD9C1" w:rsidR="003267AC" w:rsidRDefault="003267AC" w:rsidP="006735A7">
      <w:pPr>
        <w:spacing w:line="360" w:lineRule="auto"/>
        <w:ind w:firstLine="708"/>
        <w:jc w:val="both"/>
        <w:rPr>
          <w:lang w:val="es-ES_tradnl" w:bidi="si-LK"/>
        </w:rPr>
      </w:pPr>
    </w:p>
    <w:p w14:paraId="284D8886" w14:textId="417B3420" w:rsidR="003267AC" w:rsidRDefault="003267AC" w:rsidP="006735A7">
      <w:pPr>
        <w:spacing w:line="360" w:lineRule="auto"/>
        <w:ind w:firstLine="708"/>
        <w:jc w:val="both"/>
        <w:rPr>
          <w:lang w:val="es-ES_tradnl" w:bidi="si-LK"/>
        </w:rPr>
      </w:pPr>
    </w:p>
    <w:p w14:paraId="2E8B995A" w14:textId="77777777" w:rsidR="003267AC" w:rsidRPr="00EE3D94" w:rsidRDefault="003267AC" w:rsidP="006735A7">
      <w:pPr>
        <w:spacing w:line="360" w:lineRule="auto"/>
        <w:ind w:firstLine="708"/>
        <w:jc w:val="both"/>
        <w:rPr>
          <w:lang w:val="es-ES_tradnl" w:bidi="si-LK"/>
        </w:rPr>
      </w:pPr>
    </w:p>
    <w:p w14:paraId="2A339D6E" w14:textId="77777777" w:rsidR="00C859F0" w:rsidRPr="00EE3D94" w:rsidRDefault="00C859F0" w:rsidP="00C859F0">
      <w:pPr>
        <w:spacing w:line="360" w:lineRule="auto"/>
        <w:jc w:val="both"/>
        <w:rPr>
          <w:lang w:val="es-ES_tradnl" w:bidi="si-LK"/>
        </w:rPr>
      </w:pPr>
    </w:p>
    <w:p w14:paraId="192B5A9B" w14:textId="77777777" w:rsidR="00C859F0" w:rsidRPr="006735A7" w:rsidRDefault="00C859F0" w:rsidP="00C859F0">
      <w:pPr>
        <w:spacing w:line="360" w:lineRule="auto"/>
        <w:jc w:val="both"/>
        <w:rPr>
          <w:rFonts w:ascii="Arial" w:eastAsia="Times New Roman" w:hAnsi="Arial" w:cs="Arial"/>
          <w:b/>
          <w:bCs/>
          <w:bdr w:val="none" w:sz="0" w:space="0" w:color="auto"/>
          <w:lang w:val="es-MX"/>
        </w:rPr>
      </w:pPr>
      <w:r w:rsidRPr="006735A7">
        <w:rPr>
          <w:rFonts w:ascii="Arial" w:eastAsia="Times New Roman" w:hAnsi="Arial" w:cs="Arial"/>
          <w:b/>
          <w:bCs/>
          <w:bdr w:val="none" w:sz="0" w:space="0" w:color="auto"/>
          <w:lang w:val="es-MX"/>
        </w:rPr>
        <w:lastRenderedPageBreak/>
        <w:t>Conclusiones</w:t>
      </w:r>
    </w:p>
    <w:p w14:paraId="2F3FB763" w14:textId="4138B42F" w:rsidR="00C859F0" w:rsidRPr="00EE3D94" w:rsidRDefault="00C859F0" w:rsidP="006735A7">
      <w:pPr>
        <w:spacing w:line="360" w:lineRule="auto"/>
        <w:ind w:firstLine="708"/>
        <w:jc w:val="both"/>
        <w:rPr>
          <w:lang w:val="es-ES_tradnl" w:bidi="si-LK"/>
        </w:rPr>
      </w:pPr>
      <w:r w:rsidRPr="00EE3D94">
        <w:rPr>
          <w:lang w:val="es-ES_tradnl" w:bidi="si-LK"/>
        </w:rPr>
        <w:t xml:space="preserve">Los elementos analizados en este </w:t>
      </w:r>
      <w:r w:rsidR="001C5F71" w:rsidRPr="00EE3D94">
        <w:rPr>
          <w:lang w:val="es-ES_tradnl" w:bidi="si-LK"/>
        </w:rPr>
        <w:t xml:space="preserve">documento </w:t>
      </w:r>
      <w:r w:rsidRPr="00EE3D94">
        <w:rPr>
          <w:lang w:val="es-ES_tradnl" w:bidi="si-LK"/>
        </w:rPr>
        <w:t xml:space="preserve">destacan la forma en la que </w:t>
      </w:r>
      <w:r w:rsidR="003E2FF2" w:rsidRPr="00EE3D94">
        <w:rPr>
          <w:lang w:val="es-ES_tradnl" w:bidi="si-LK"/>
        </w:rPr>
        <w:t xml:space="preserve">los </w:t>
      </w:r>
      <w:r w:rsidR="003E2FF2" w:rsidRPr="00767227">
        <w:rPr>
          <w:lang w:val="es-ES_tradnl" w:bidi="si-LK"/>
        </w:rPr>
        <w:t xml:space="preserve">instrumentos técnicos e institucionales son los mecanismos que más aportan a la </w:t>
      </w:r>
      <w:r w:rsidRPr="00767227">
        <w:rPr>
          <w:lang w:val="es-ES_tradnl" w:bidi="si-LK"/>
        </w:rPr>
        <w:t>rendición de cuentas en todas sus vertientes</w:t>
      </w:r>
      <w:r w:rsidRPr="00EE3D94">
        <w:rPr>
          <w:lang w:val="es-ES_tradnl" w:bidi="si-LK"/>
        </w:rPr>
        <w:t xml:space="preserve"> (</w:t>
      </w:r>
      <w:r w:rsidR="003E2FF2" w:rsidRPr="00EE3D94">
        <w:rPr>
          <w:lang w:val="es-ES_tradnl" w:bidi="si-LK"/>
        </w:rPr>
        <w:t xml:space="preserve">tanto vertical como social). </w:t>
      </w:r>
      <w:r w:rsidRPr="00EE3D94">
        <w:rPr>
          <w:lang w:val="es-ES_tradnl" w:bidi="si-LK"/>
        </w:rPr>
        <w:t xml:space="preserve">Las expectativas populares </w:t>
      </w:r>
      <w:r w:rsidR="00040C74" w:rsidRPr="00EE3D94">
        <w:rPr>
          <w:lang w:val="es-ES_tradnl" w:bidi="si-LK"/>
        </w:rPr>
        <w:t xml:space="preserve">generadas por </w:t>
      </w:r>
      <w:r w:rsidRPr="00EE3D94">
        <w:rPr>
          <w:lang w:val="es-ES_tradnl" w:bidi="si-LK"/>
        </w:rPr>
        <w:t xml:space="preserve">la rendición de cuentas </w:t>
      </w:r>
      <w:r w:rsidR="00040C74" w:rsidRPr="00EE3D94">
        <w:rPr>
          <w:lang w:val="es-ES_tradnl" w:bidi="si-LK"/>
        </w:rPr>
        <w:t xml:space="preserve">suponen </w:t>
      </w:r>
      <w:r w:rsidRPr="00EE3D94">
        <w:rPr>
          <w:lang w:val="es-ES_tradnl" w:bidi="si-LK"/>
        </w:rPr>
        <w:t>una nueva forma de vinculación con los representantes más rutinaria, cercana e influyente. Las elecciones periódicas y la reelección son insuficientes para la representación actual.</w:t>
      </w:r>
      <w:r w:rsidR="006E3F60" w:rsidRPr="00EE3D94">
        <w:rPr>
          <w:lang w:val="es-ES_tradnl" w:bidi="si-LK"/>
        </w:rPr>
        <w:t xml:space="preserve"> </w:t>
      </w:r>
      <w:r w:rsidR="006E3F60" w:rsidRPr="00767227">
        <w:rPr>
          <w:lang w:val="es-ES_tradnl" w:bidi="si-LK"/>
        </w:rPr>
        <w:t>Los bajos niveles de reelección en la región limitan el contacto con la ciudadanía al tiempo que reduce</w:t>
      </w:r>
      <w:r w:rsidR="00731ECD">
        <w:rPr>
          <w:lang w:val="es-ES_tradnl" w:bidi="si-LK"/>
        </w:rPr>
        <w:t>n</w:t>
      </w:r>
      <w:r w:rsidR="006E3F60" w:rsidRPr="00767227">
        <w:rPr>
          <w:lang w:val="es-ES_tradnl" w:bidi="si-LK"/>
        </w:rPr>
        <w:t xml:space="preserve"> la posibilidad de ejercer presión sobre la responsabilidad de los legisladores en sus actividades parlamentarias.</w:t>
      </w:r>
    </w:p>
    <w:p w14:paraId="548C187D" w14:textId="1F7D57CE" w:rsidR="006E3F60" w:rsidRPr="00EE3D94" w:rsidRDefault="006E3F60" w:rsidP="006735A7">
      <w:pPr>
        <w:spacing w:line="360" w:lineRule="auto"/>
        <w:ind w:firstLine="708"/>
        <w:jc w:val="both"/>
        <w:rPr>
          <w:lang w:val="es-ES_tradnl" w:bidi="si-LK"/>
        </w:rPr>
      </w:pPr>
      <w:r w:rsidRPr="00EE3D94">
        <w:rPr>
          <w:lang w:val="es-ES_tradnl" w:bidi="si-LK"/>
        </w:rPr>
        <w:t xml:space="preserve">En el documento se pudo constatar que los mecanismos institucionales de equilibrio de poderes contribuyen a la rendición de cuentas horizontal, pero depende de la hegemonía de los </w:t>
      </w:r>
      <w:r w:rsidR="00A347B6" w:rsidRPr="00EE3D94">
        <w:rPr>
          <w:lang w:val="es-ES_tradnl" w:bidi="si-LK"/>
        </w:rPr>
        <w:t>sistemas presidenciales la interacción con sus contrapartes. La transparencia, el acceso a la información</w:t>
      </w:r>
      <w:r w:rsidR="00731ECD">
        <w:rPr>
          <w:lang w:val="es-ES_tradnl" w:bidi="si-LK"/>
        </w:rPr>
        <w:t xml:space="preserve"> y</w:t>
      </w:r>
      <w:r w:rsidR="00731ECD" w:rsidRPr="00EE3D94">
        <w:rPr>
          <w:lang w:val="es-ES_tradnl" w:bidi="si-LK"/>
        </w:rPr>
        <w:t xml:space="preserve"> </w:t>
      </w:r>
      <w:r w:rsidR="00A347B6" w:rsidRPr="00EE3D94">
        <w:rPr>
          <w:lang w:val="es-ES_tradnl" w:bidi="si-LK"/>
        </w:rPr>
        <w:t xml:space="preserve">los propios sistemas de información </w:t>
      </w:r>
      <w:r w:rsidR="00731ECD">
        <w:rPr>
          <w:lang w:val="es-ES_tradnl" w:bidi="si-LK"/>
        </w:rPr>
        <w:t>-</w:t>
      </w:r>
      <w:r w:rsidR="00A347B6" w:rsidRPr="00EE3D94">
        <w:rPr>
          <w:lang w:val="es-ES_tradnl" w:bidi="si-LK"/>
        </w:rPr>
        <w:t xml:space="preserve">como parte de los nuevos recursos técnicos </w:t>
      </w:r>
      <w:r w:rsidR="00767227">
        <w:rPr>
          <w:lang w:val="es-ES_tradnl" w:bidi="si-LK"/>
        </w:rPr>
        <w:t>e institucionales a los que está</w:t>
      </w:r>
      <w:r w:rsidR="00A347B6" w:rsidRPr="00EE3D94">
        <w:rPr>
          <w:lang w:val="es-ES_tradnl" w:bidi="si-LK"/>
        </w:rPr>
        <w:t>n obligados a responder los legisladores</w:t>
      </w:r>
      <w:r w:rsidR="00731ECD">
        <w:rPr>
          <w:lang w:val="es-ES_tradnl" w:bidi="si-LK"/>
        </w:rPr>
        <w:t>-</w:t>
      </w:r>
      <w:r w:rsidR="00731ECD" w:rsidRPr="00EE3D94">
        <w:rPr>
          <w:lang w:val="es-ES_tradnl" w:bidi="si-LK"/>
        </w:rPr>
        <w:t xml:space="preserve"> </w:t>
      </w:r>
      <w:r w:rsidR="00A347B6" w:rsidRPr="00EE3D94">
        <w:rPr>
          <w:lang w:val="es-ES_tradnl" w:bidi="si-LK"/>
        </w:rPr>
        <w:t>demuestran el rezago en el que aún</w:t>
      </w:r>
      <w:r w:rsidR="00731ECD">
        <w:rPr>
          <w:lang w:val="es-ES_tradnl" w:bidi="si-LK"/>
        </w:rPr>
        <w:t>,</w:t>
      </w:r>
      <w:r w:rsidR="00A347B6" w:rsidRPr="00EE3D94">
        <w:rPr>
          <w:lang w:val="es-ES_tradnl" w:bidi="si-LK"/>
        </w:rPr>
        <w:t xml:space="preserve"> y pese a los procesos de democratización, se mantienen </w:t>
      </w:r>
      <w:r w:rsidR="00731ECD">
        <w:rPr>
          <w:lang w:val="es-ES_tradnl" w:bidi="si-LK"/>
        </w:rPr>
        <w:t>no obstante</w:t>
      </w:r>
      <w:r w:rsidR="00A347B6" w:rsidRPr="00EE3D94">
        <w:rPr>
          <w:lang w:val="es-ES_tradnl" w:bidi="si-LK"/>
        </w:rPr>
        <w:t xml:space="preserve"> las facultades adquiridas frente a los legislativos. La opacidad, la falta de información y de acceso a la misma ha</w:t>
      </w:r>
      <w:r w:rsidR="00731ECD">
        <w:rPr>
          <w:lang w:val="es-ES_tradnl" w:bidi="si-LK"/>
        </w:rPr>
        <w:t>n</w:t>
      </w:r>
      <w:r w:rsidR="00A347B6" w:rsidRPr="00EE3D94">
        <w:rPr>
          <w:lang w:val="es-ES_tradnl" w:bidi="si-LK"/>
        </w:rPr>
        <w:t xml:space="preserve"> sido</w:t>
      </w:r>
      <w:r w:rsidR="00731ECD">
        <w:rPr>
          <w:lang w:val="es-ES_tradnl" w:bidi="si-LK"/>
        </w:rPr>
        <w:t>,</w:t>
      </w:r>
      <w:r w:rsidR="00A347B6" w:rsidRPr="00EE3D94">
        <w:rPr>
          <w:lang w:val="es-ES_tradnl" w:bidi="si-LK"/>
        </w:rPr>
        <w:t xml:space="preserve"> en la mayoría de los casos, la constante, no por falta de recursos presupuestales, sino por la opacidad y responsabilidad del manejo de los mismos.</w:t>
      </w:r>
    </w:p>
    <w:p w14:paraId="0FADACF1" w14:textId="491123FC" w:rsidR="00424401" w:rsidRPr="00EE3D94" w:rsidRDefault="00A347B6" w:rsidP="006735A7">
      <w:pPr>
        <w:spacing w:line="360" w:lineRule="auto"/>
        <w:ind w:firstLine="708"/>
        <w:jc w:val="both"/>
        <w:rPr>
          <w:lang w:val="es-ES_tradnl" w:bidi="si-LK"/>
        </w:rPr>
      </w:pPr>
      <w:r w:rsidRPr="00EE3D94">
        <w:rPr>
          <w:lang w:val="es-ES_tradnl" w:bidi="si-LK"/>
        </w:rPr>
        <w:t xml:space="preserve">Además de las limitantes institucionales de los Congresos latinoamericanos, se pudo observar </w:t>
      </w:r>
      <w:r w:rsidRPr="00767227">
        <w:rPr>
          <w:lang w:val="es-ES_tradnl" w:bidi="si-LK"/>
        </w:rPr>
        <w:t>la baja atracción de estos hacia l</w:t>
      </w:r>
      <w:r w:rsidR="00C859F0" w:rsidRPr="00767227">
        <w:rPr>
          <w:lang w:val="es-ES_tradnl" w:bidi="si-LK"/>
        </w:rPr>
        <w:t>a creciente participación de la sociedad civil empoderada por los mecanismos de participación legal a su alcance</w:t>
      </w:r>
      <w:r w:rsidR="00731ECD">
        <w:rPr>
          <w:lang w:val="es-ES_tradnl" w:bidi="si-LK"/>
        </w:rPr>
        <w:t>.</w:t>
      </w:r>
      <w:r w:rsidR="00C859F0" w:rsidRPr="00767227">
        <w:rPr>
          <w:lang w:val="es-ES_tradnl" w:bidi="si-LK"/>
        </w:rPr>
        <w:t xml:space="preserve"> </w:t>
      </w:r>
      <w:r w:rsidR="00731ECD">
        <w:rPr>
          <w:lang w:val="es-ES_tradnl" w:bidi="si-LK"/>
        </w:rPr>
        <w:t>L</w:t>
      </w:r>
      <w:r w:rsidR="00C859F0" w:rsidRPr="00767227">
        <w:rPr>
          <w:lang w:val="es-ES_tradnl" w:bidi="si-LK"/>
        </w:rPr>
        <w:t>os progresos tecnológicos y medios</w:t>
      </w:r>
      <w:r w:rsidR="00C859F0" w:rsidRPr="00EE3D94">
        <w:rPr>
          <w:lang w:val="es-ES_tradnl" w:bidi="si-LK"/>
        </w:rPr>
        <w:t xml:space="preserve"> de comunicación han dado la pauta a una mayor interacción, apertura y explicación de las acciones públicas y privadas de los representantes sometidos al constante escrutinio de sus votantes</w:t>
      </w:r>
      <w:r w:rsidR="00731ECD">
        <w:rPr>
          <w:lang w:val="es-ES_tradnl" w:bidi="si-LK"/>
        </w:rPr>
        <w:t>.</w:t>
      </w:r>
      <w:r w:rsidR="00731ECD" w:rsidRPr="00EE3D94">
        <w:rPr>
          <w:lang w:val="es-ES_tradnl" w:bidi="si-LK"/>
        </w:rPr>
        <w:t xml:space="preserve"> </w:t>
      </w:r>
      <w:r w:rsidR="00731ECD">
        <w:rPr>
          <w:lang w:val="es-ES_tradnl" w:bidi="si-LK"/>
        </w:rPr>
        <w:t xml:space="preserve">Sin </w:t>
      </w:r>
      <w:r w:rsidR="00767227">
        <w:rPr>
          <w:lang w:val="es-ES_tradnl" w:bidi="si-LK"/>
        </w:rPr>
        <w:t>e</w:t>
      </w:r>
      <w:r w:rsidRPr="00EE3D94">
        <w:rPr>
          <w:lang w:val="es-ES_tradnl" w:bidi="si-LK"/>
        </w:rPr>
        <w:t>mbargo, tal parece que esta</w:t>
      </w:r>
      <w:r w:rsidR="00C859F0" w:rsidRPr="00EE3D94">
        <w:rPr>
          <w:lang w:val="es-ES_tradnl" w:bidi="si-LK"/>
        </w:rPr>
        <w:t xml:space="preserve"> nueva veta </w:t>
      </w:r>
      <w:r w:rsidRPr="00EE3D94">
        <w:rPr>
          <w:lang w:val="es-ES_tradnl" w:bidi="si-LK"/>
        </w:rPr>
        <w:t xml:space="preserve">ha sido desaprovechada </w:t>
      </w:r>
      <w:r w:rsidR="00C859F0" w:rsidRPr="00EE3D94">
        <w:rPr>
          <w:lang w:val="es-ES_tradnl" w:bidi="si-LK"/>
        </w:rPr>
        <w:t>en la</w:t>
      </w:r>
      <w:r w:rsidRPr="00EE3D94">
        <w:rPr>
          <w:lang w:val="es-ES_tradnl" w:bidi="si-LK"/>
        </w:rPr>
        <w:t xml:space="preserve"> m</w:t>
      </w:r>
      <w:r w:rsidR="00D568A9" w:rsidRPr="00EE3D94">
        <w:rPr>
          <w:lang w:val="es-ES_tradnl" w:bidi="si-LK"/>
        </w:rPr>
        <w:t xml:space="preserve">edida en la que son pocos los países </w:t>
      </w:r>
      <w:r w:rsidR="00731ECD">
        <w:rPr>
          <w:lang w:val="es-ES_tradnl" w:bidi="si-LK"/>
        </w:rPr>
        <w:t>los que</w:t>
      </w:r>
      <w:r w:rsidR="00731ECD" w:rsidRPr="00EE3D94">
        <w:rPr>
          <w:lang w:val="es-ES_tradnl" w:bidi="si-LK"/>
        </w:rPr>
        <w:t xml:space="preserve"> </w:t>
      </w:r>
      <w:r w:rsidR="00D568A9" w:rsidRPr="00EE3D94">
        <w:rPr>
          <w:lang w:val="es-ES_tradnl" w:bidi="si-LK"/>
        </w:rPr>
        <w:t>utilizan tales mecanismos y</w:t>
      </w:r>
      <w:r w:rsidR="00731ECD">
        <w:rPr>
          <w:lang w:val="es-ES_tradnl" w:bidi="si-LK"/>
        </w:rPr>
        <w:t>,</w:t>
      </w:r>
      <w:r w:rsidR="00D568A9" w:rsidRPr="00EE3D94">
        <w:rPr>
          <w:lang w:val="es-ES_tradnl" w:bidi="si-LK"/>
        </w:rPr>
        <w:t xml:space="preserve"> coincidentemente</w:t>
      </w:r>
      <w:r w:rsidR="00731ECD">
        <w:rPr>
          <w:lang w:val="es-ES_tradnl" w:bidi="si-LK"/>
        </w:rPr>
        <w:t>,</w:t>
      </w:r>
      <w:r w:rsidR="00D568A9" w:rsidRPr="00EE3D94">
        <w:rPr>
          <w:lang w:val="es-ES_tradnl" w:bidi="si-LK"/>
        </w:rPr>
        <w:t xml:space="preserve"> son los que</w:t>
      </w:r>
      <w:r w:rsidR="00731ECD">
        <w:rPr>
          <w:lang w:val="es-ES_tradnl" w:bidi="si-LK"/>
        </w:rPr>
        <w:t>,</w:t>
      </w:r>
      <w:r w:rsidR="00D568A9" w:rsidRPr="00EE3D94">
        <w:rPr>
          <w:lang w:val="es-ES_tradnl" w:bidi="si-LK"/>
        </w:rPr>
        <w:t xml:space="preserve"> en principio</w:t>
      </w:r>
      <w:r w:rsidR="00731ECD">
        <w:rPr>
          <w:lang w:val="es-ES_tradnl" w:bidi="si-LK"/>
        </w:rPr>
        <w:t>,</w:t>
      </w:r>
      <w:r w:rsidR="00D568A9" w:rsidRPr="00EE3D94">
        <w:rPr>
          <w:lang w:val="es-ES_tradnl" w:bidi="si-LK"/>
        </w:rPr>
        <w:t xml:space="preserve"> tienen una mejor percepción ciudadana en términos de representación, como es el caso de Uruguay. Contrariamente, Argentina y México, </w:t>
      </w:r>
      <w:r w:rsidR="00731ECD">
        <w:rPr>
          <w:lang w:val="es-ES_tradnl" w:bidi="si-LK"/>
        </w:rPr>
        <w:t>que,</w:t>
      </w:r>
      <w:r w:rsidR="00731ECD" w:rsidRPr="00EE3D94">
        <w:rPr>
          <w:lang w:val="es-ES_tradnl" w:bidi="si-LK"/>
        </w:rPr>
        <w:t xml:space="preserve"> </w:t>
      </w:r>
      <w:r w:rsidR="00D568A9" w:rsidRPr="00EE3D94">
        <w:rPr>
          <w:lang w:val="es-ES_tradnl" w:bidi="si-LK"/>
        </w:rPr>
        <w:t xml:space="preserve">con mayores recursos presupuestales, </w:t>
      </w:r>
      <w:r w:rsidR="00F70145" w:rsidRPr="00EE3D94">
        <w:rPr>
          <w:lang w:val="es-ES_tradnl" w:bidi="si-LK"/>
        </w:rPr>
        <w:t xml:space="preserve">tienen </w:t>
      </w:r>
      <w:r w:rsidR="00D568A9" w:rsidRPr="00EE3D94">
        <w:rPr>
          <w:lang w:val="es-ES_tradnl" w:bidi="si-LK"/>
        </w:rPr>
        <w:t xml:space="preserve">menor o prácticamente nula utilización de instrumentos de participación ciudadana, son de los </w:t>
      </w:r>
      <w:r w:rsidR="00D568A9" w:rsidRPr="00EE3D94">
        <w:rPr>
          <w:lang w:val="es-ES_tradnl" w:bidi="si-LK"/>
        </w:rPr>
        <w:lastRenderedPageBreak/>
        <w:t>congresos peor evaluados por sus representados. Es decir,</w:t>
      </w:r>
      <w:r w:rsidR="00C859F0" w:rsidRPr="00EE3D94">
        <w:rPr>
          <w:lang w:val="es-ES_tradnl" w:bidi="si-LK"/>
        </w:rPr>
        <w:t xml:space="preserve"> </w:t>
      </w:r>
      <w:r w:rsidR="00D568A9" w:rsidRPr="00EE3D94">
        <w:rPr>
          <w:lang w:val="es-ES_tradnl" w:bidi="si-LK"/>
        </w:rPr>
        <w:t xml:space="preserve">la activación de los </w:t>
      </w:r>
      <w:r w:rsidR="00731ECD">
        <w:rPr>
          <w:lang w:val="es-ES_tradnl" w:bidi="si-LK"/>
        </w:rPr>
        <w:t>L</w:t>
      </w:r>
      <w:r w:rsidR="00731ECD" w:rsidRPr="00EE3D94">
        <w:rPr>
          <w:lang w:val="es-ES_tradnl" w:bidi="si-LK"/>
        </w:rPr>
        <w:t xml:space="preserve">egislativos </w:t>
      </w:r>
      <w:r w:rsidR="00D568A9" w:rsidRPr="00EE3D94">
        <w:rPr>
          <w:lang w:val="es-ES_tradnl" w:bidi="si-LK"/>
        </w:rPr>
        <w:t xml:space="preserve">en países como México o Argentina no </w:t>
      </w:r>
      <w:r w:rsidR="00731ECD" w:rsidRPr="00EE3D94">
        <w:rPr>
          <w:lang w:val="es-ES_tradnl" w:bidi="si-LK"/>
        </w:rPr>
        <w:t>implic</w:t>
      </w:r>
      <w:r w:rsidR="00731ECD">
        <w:rPr>
          <w:lang w:val="es-ES_tradnl" w:bidi="si-LK"/>
        </w:rPr>
        <w:t>ó</w:t>
      </w:r>
      <w:r w:rsidR="00731ECD" w:rsidRPr="00EE3D94">
        <w:rPr>
          <w:lang w:val="es-ES_tradnl" w:bidi="si-LK"/>
        </w:rPr>
        <w:t xml:space="preserve"> </w:t>
      </w:r>
      <w:r w:rsidR="00D568A9" w:rsidRPr="00EE3D94">
        <w:rPr>
          <w:lang w:val="es-ES_tradnl" w:bidi="si-LK"/>
        </w:rPr>
        <w:t xml:space="preserve">la mejora de la </w:t>
      </w:r>
      <w:r w:rsidR="00C859F0" w:rsidRPr="00EE3D94">
        <w:rPr>
          <w:lang w:val="es-ES_tradnl" w:bidi="si-LK"/>
        </w:rPr>
        <w:t>representación</w:t>
      </w:r>
      <w:r w:rsidR="00731ECD">
        <w:rPr>
          <w:lang w:val="es-ES_tradnl" w:bidi="si-LK"/>
        </w:rPr>
        <w:t>,</w:t>
      </w:r>
      <w:r w:rsidR="00C859F0" w:rsidRPr="00EE3D94">
        <w:rPr>
          <w:lang w:val="es-ES_tradnl" w:bidi="si-LK"/>
        </w:rPr>
        <w:t xml:space="preserve"> </w:t>
      </w:r>
      <w:r w:rsidR="00D568A9" w:rsidRPr="00EE3D94">
        <w:rPr>
          <w:lang w:val="es-ES_tradnl" w:bidi="si-LK"/>
        </w:rPr>
        <w:t xml:space="preserve">por lo que no son considerados </w:t>
      </w:r>
      <w:r w:rsidR="00C859F0" w:rsidRPr="00EE3D94">
        <w:rPr>
          <w:lang w:val="es-ES_tradnl" w:bidi="si-LK"/>
        </w:rPr>
        <w:t>agente</w:t>
      </w:r>
      <w:r w:rsidR="00D568A9" w:rsidRPr="00EE3D94">
        <w:rPr>
          <w:lang w:val="es-ES_tradnl" w:bidi="si-LK"/>
        </w:rPr>
        <w:t>s</w:t>
      </w:r>
      <w:r w:rsidR="00C859F0" w:rsidRPr="00EE3D94">
        <w:rPr>
          <w:lang w:val="es-ES_tradnl" w:bidi="si-LK"/>
        </w:rPr>
        <w:t xml:space="preserve"> del desarrollo nacional</w:t>
      </w:r>
      <w:r w:rsidR="00731ECD">
        <w:rPr>
          <w:lang w:val="es-ES_tradnl" w:bidi="si-LK"/>
        </w:rPr>
        <w:t>.</w:t>
      </w:r>
      <w:r w:rsidR="00731ECD" w:rsidRPr="00EE3D94">
        <w:rPr>
          <w:lang w:val="es-ES_tradnl" w:bidi="si-LK"/>
        </w:rPr>
        <w:t xml:space="preserve"> </w:t>
      </w:r>
      <w:r w:rsidR="00731ECD">
        <w:rPr>
          <w:lang w:val="es-ES_tradnl" w:bidi="si-LK"/>
        </w:rPr>
        <w:t>P</w:t>
      </w:r>
      <w:r w:rsidR="00731ECD" w:rsidRPr="00EE3D94">
        <w:rPr>
          <w:lang w:val="es-ES_tradnl" w:bidi="si-LK"/>
        </w:rPr>
        <w:t xml:space="preserve">or </w:t>
      </w:r>
      <w:r w:rsidR="00D568A9" w:rsidRPr="00EE3D94">
        <w:rPr>
          <w:lang w:val="es-ES_tradnl" w:bidi="si-LK"/>
        </w:rPr>
        <w:t>el contrario, se observan más como un lastre que no ha sabido incluir en la práctica parlamentaria el valor de los nuevos recursos de apoyo legislativo</w:t>
      </w:r>
      <w:r w:rsidR="00C859F0" w:rsidRPr="00EE3D94">
        <w:rPr>
          <w:lang w:val="es-ES_tradnl" w:bidi="si-LK"/>
        </w:rPr>
        <w:t xml:space="preserve">. </w:t>
      </w:r>
    </w:p>
    <w:p w14:paraId="14D04D1B" w14:textId="77777777" w:rsidR="00424401" w:rsidRPr="00EE3D94" w:rsidRDefault="00424401" w:rsidP="00C859F0">
      <w:pPr>
        <w:spacing w:line="360" w:lineRule="auto"/>
        <w:jc w:val="both"/>
        <w:rPr>
          <w:lang w:val="es-ES_tradnl" w:bidi="si-LK"/>
        </w:rPr>
      </w:pPr>
    </w:p>
    <w:p w14:paraId="15FF114D" w14:textId="673A27F5" w:rsidR="00A5721C" w:rsidRPr="006735A7" w:rsidRDefault="00731ECD" w:rsidP="006735A7">
      <w:pPr>
        <w:spacing w:line="360" w:lineRule="auto"/>
        <w:jc w:val="both"/>
        <w:rPr>
          <w:rFonts w:ascii="Arial" w:eastAsia="Times New Roman" w:hAnsi="Arial" w:cs="Arial"/>
          <w:b/>
          <w:bCs/>
          <w:bdr w:val="none" w:sz="0" w:space="0" w:color="auto"/>
          <w:lang w:val="es-MX"/>
        </w:rPr>
      </w:pPr>
      <w:r w:rsidRPr="006735A7">
        <w:rPr>
          <w:rFonts w:ascii="Arial" w:eastAsia="Times New Roman" w:hAnsi="Arial" w:cs="Arial"/>
          <w:b/>
          <w:bCs/>
          <w:bdr w:val="none" w:sz="0" w:space="0" w:color="auto"/>
          <w:lang w:val="es-MX"/>
        </w:rPr>
        <w:t>Referencias</w:t>
      </w:r>
    </w:p>
    <w:p w14:paraId="25DA2271" w14:textId="0F505F80" w:rsidR="000A2139" w:rsidRPr="00EE3D94" w:rsidRDefault="000A2139" w:rsidP="003D107D">
      <w:pPr>
        <w:pStyle w:val="Textoindependiente"/>
        <w:spacing w:before="100" w:beforeAutospacing="1" w:after="100" w:afterAutospacing="1"/>
        <w:ind w:left="567" w:hanging="567"/>
        <w:jc w:val="both"/>
        <w:rPr>
          <w:lang w:val="es-ES_tradnl"/>
        </w:rPr>
      </w:pPr>
      <w:r w:rsidRPr="00EE3D94">
        <w:rPr>
          <w:lang w:val="es-ES_tradnl"/>
        </w:rPr>
        <w:t xml:space="preserve">Ackerman, </w:t>
      </w:r>
      <w:r w:rsidR="00A750B9" w:rsidRPr="00EE3D94">
        <w:rPr>
          <w:lang w:val="es-ES_tradnl"/>
        </w:rPr>
        <w:t>J</w:t>
      </w:r>
      <w:r w:rsidR="00A750B9">
        <w:rPr>
          <w:lang w:val="es-ES_tradnl"/>
        </w:rPr>
        <w:t>.</w:t>
      </w:r>
      <w:r w:rsidR="00A750B9" w:rsidRPr="00EE3D94">
        <w:rPr>
          <w:lang w:val="es-ES_tradnl"/>
        </w:rPr>
        <w:t xml:space="preserve"> </w:t>
      </w:r>
      <w:r w:rsidRPr="00EE3D94">
        <w:rPr>
          <w:lang w:val="es-ES_tradnl"/>
        </w:rPr>
        <w:t>M. (2004)</w:t>
      </w:r>
      <w:r w:rsidR="00A750B9">
        <w:rPr>
          <w:lang w:val="es-ES_tradnl"/>
        </w:rPr>
        <w:t>.</w:t>
      </w:r>
      <w:r w:rsidRPr="00EE3D94">
        <w:rPr>
          <w:lang w:val="es-ES_tradnl"/>
        </w:rPr>
        <w:t xml:space="preserve"> </w:t>
      </w:r>
      <w:r w:rsidRPr="006735A7">
        <w:rPr>
          <w:i/>
          <w:lang w:val="es-ES_tradnl"/>
        </w:rPr>
        <w:t>Sinergia, Estado-Sociedad en pro de la rendición de cuentas: lecciones para el Banco Mundial</w:t>
      </w:r>
      <w:r w:rsidRPr="00EE3D94">
        <w:rPr>
          <w:lang w:val="es-ES_tradnl"/>
        </w:rPr>
        <w:t xml:space="preserve">. </w:t>
      </w:r>
      <w:r w:rsidR="00A750B9" w:rsidRPr="006735A7">
        <w:rPr>
          <w:lang w:val="es-ES_tradnl"/>
        </w:rPr>
        <w:t>Washington</w:t>
      </w:r>
      <w:r w:rsidR="00A750B9">
        <w:rPr>
          <w:lang w:val="es-ES_tradnl"/>
        </w:rPr>
        <w:t>, Estados Unidos: Banco Mundial.</w:t>
      </w:r>
    </w:p>
    <w:p w14:paraId="2DBFD909" w14:textId="0BCB54EE" w:rsidR="005B530E" w:rsidRPr="00EE3D94" w:rsidRDefault="005B530E" w:rsidP="003D107D">
      <w:pPr>
        <w:pStyle w:val="Textoindependiente"/>
        <w:spacing w:before="100" w:beforeAutospacing="1" w:after="100" w:afterAutospacing="1"/>
        <w:ind w:left="567" w:hanging="567"/>
        <w:jc w:val="both"/>
        <w:rPr>
          <w:lang w:val="es-ES_tradnl"/>
        </w:rPr>
      </w:pPr>
      <w:r w:rsidRPr="00EE3D94">
        <w:rPr>
          <w:lang w:val="es-ES_tradnl"/>
        </w:rPr>
        <w:t>Alcántara</w:t>
      </w:r>
      <w:r w:rsidR="00A750B9">
        <w:rPr>
          <w:lang w:val="es-ES_tradnl"/>
        </w:rPr>
        <w:t>,</w:t>
      </w:r>
      <w:r w:rsidRPr="00EE3D94">
        <w:rPr>
          <w:lang w:val="es-ES_tradnl"/>
        </w:rPr>
        <w:t xml:space="preserve"> </w:t>
      </w:r>
      <w:r w:rsidR="00A750B9" w:rsidRPr="00EE3D94">
        <w:rPr>
          <w:lang w:val="es-ES_tradnl"/>
        </w:rPr>
        <w:t>M</w:t>
      </w:r>
      <w:r w:rsidR="00A750B9">
        <w:rPr>
          <w:lang w:val="es-ES_tradnl"/>
        </w:rPr>
        <w:t>.</w:t>
      </w:r>
      <w:r w:rsidRPr="00EE3D94">
        <w:rPr>
          <w:lang w:val="es-ES_tradnl"/>
        </w:rPr>
        <w:t>, García Montero,</w:t>
      </w:r>
      <w:r w:rsidR="002A7FBD" w:rsidRPr="00EE3D94">
        <w:rPr>
          <w:lang w:val="es-ES_tradnl"/>
        </w:rPr>
        <w:t xml:space="preserve"> </w:t>
      </w:r>
      <w:r w:rsidR="00A750B9" w:rsidRPr="00EE3D94">
        <w:rPr>
          <w:lang w:val="es-ES_tradnl"/>
        </w:rPr>
        <w:t>M</w:t>
      </w:r>
      <w:r w:rsidR="00A750B9">
        <w:rPr>
          <w:lang w:val="es-ES_tradnl"/>
        </w:rPr>
        <w:t>.</w:t>
      </w:r>
      <w:r w:rsidR="00A750B9" w:rsidRPr="00EE3D94">
        <w:rPr>
          <w:lang w:val="es-ES_tradnl"/>
        </w:rPr>
        <w:t xml:space="preserve"> </w:t>
      </w:r>
      <w:r w:rsidR="002A7FBD" w:rsidRPr="00EE3D94">
        <w:rPr>
          <w:lang w:val="es-ES_tradnl"/>
        </w:rPr>
        <w:t>y</w:t>
      </w:r>
      <w:r w:rsidRPr="00EE3D94">
        <w:rPr>
          <w:lang w:val="es-ES_tradnl"/>
        </w:rPr>
        <w:t xml:space="preserve"> Sánchez López</w:t>
      </w:r>
      <w:r w:rsidR="002A7FBD" w:rsidRPr="00EE3D94">
        <w:rPr>
          <w:lang w:val="es-ES_tradnl"/>
        </w:rPr>
        <w:t xml:space="preserve">, </w:t>
      </w:r>
      <w:r w:rsidR="00A750B9" w:rsidRPr="00EE3D94">
        <w:rPr>
          <w:lang w:val="es-ES_tradnl"/>
        </w:rPr>
        <w:t>J</w:t>
      </w:r>
      <w:r w:rsidR="00A750B9">
        <w:rPr>
          <w:lang w:val="es-ES_tradnl"/>
        </w:rPr>
        <w:t>.</w:t>
      </w:r>
      <w:r w:rsidR="00A750B9" w:rsidRPr="00EE3D94">
        <w:rPr>
          <w:lang w:val="es-ES_tradnl"/>
        </w:rPr>
        <w:t xml:space="preserve"> </w:t>
      </w:r>
      <w:r w:rsidRPr="00EE3D94">
        <w:rPr>
          <w:lang w:val="es-ES_tradnl"/>
        </w:rPr>
        <w:t>(2005)</w:t>
      </w:r>
      <w:r w:rsidR="00A750B9">
        <w:rPr>
          <w:lang w:val="es-ES_tradnl"/>
        </w:rPr>
        <w:t>.</w:t>
      </w:r>
      <w:r w:rsidRPr="00EE3D94">
        <w:rPr>
          <w:lang w:val="es-ES_tradnl"/>
        </w:rPr>
        <w:t xml:space="preserve"> </w:t>
      </w:r>
      <w:r w:rsidRPr="00EE3D94">
        <w:rPr>
          <w:i/>
          <w:lang w:val="es-ES_tradnl"/>
        </w:rPr>
        <w:t>Funciones, procedimientos y escenarios: un análisis del poder legislativo en América Latina</w:t>
      </w:r>
      <w:r w:rsidR="00A750B9">
        <w:rPr>
          <w:lang w:val="es-ES_tradnl"/>
        </w:rPr>
        <w:t>.</w:t>
      </w:r>
      <w:r w:rsidR="00A750B9" w:rsidRPr="00EE3D94">
        <w:rPr>
          <w:lang w:val="es-ES_tradnl"/>
        </w:rPr>
        <w:t xml:space="preserve"> </w:t>
      </w:r>
      <w:r w:rsidR="002A7FBD" w:rsidRPr="00EE3D94">
        <w:rPr>
          <w:lang w:val="es-ES_tradnl"/>
        </w:rPr>
        <w:t>Salamanca, España:</w:t>
      </w:r>
      <w:r w:rsidRPr="00EE3D94">
        <w:rPr>
          <w:lang w:val="es-ES_tradnl"/>
        </w:rPr>
        <w:t xml:space="preserve"> Universidad de Salamanca.</w:t>
      </w:r>
    </w:p>
    <w:p w14:paraId="4E2CB294" w14:textId="1D1C7FFE" w:rsidR="00954DFB" w:rsidRPr="00EE3D94" w:rsidRDefault="00954DFB" w:rsidP="003D107D">
      <w:pPr>
        <w:pStyle w:val="Textoindependiente"/>
        <w:spacing w:before="100" w:beforeAutospacing="1" w:after="100" w:afterAutospacing="1"/>
        <w:ind w:left="567" w:hanging="567"/>
        <w:jc w:val="both"/>
        <w:rPr>
          <w:lang w:val="es-ES_tradnl"/>
        </w:rPr>
      </w:pPr>
      <w:r w:rsidRPr="00EE3D94">
        <w:rPr>
          <w:lang w:val="es-ES_tradnl"/>
        </w:rPr>
        <w:t xml:space="preserve">Ampuero, </w:t>
      </w:r>
      <w:r w:rsidR="00A750B9" w:rsidRPr="00EE3D94">
        <w:rPr>
          <w:lang w:val="es-ES_tradnl"/>
        </w:rPr>
        <w:t>H</w:t>
      </w:r>
      <w:r w:rsidR="00A750B9">
        <w:rPr>
          <w:lang w:val="es-ES_tradnl"/>
        </w:rPr>
        <w:t>.</w:t>
      </w:r>
      <w:r w:rsidR="00A750B9" w:rsidRPr="00EE3D94">
        <w:rPr>
          <w:lang w:val="es-ES_tradnl"/>
        </w:rPr>
        <w:t xml:space="preserve"> </w:t>
      </w:r>
      <w:r w:rsidRPr="00EE3D94">
        <w:rPr>
          <w:lang w:val="es-ES_tradnl"/>
        </w:rPr>
        <w:t>(2005)</w:t>
      </w:r>
      <w:r w:rsidR="00A750B9">
        <w:rPr>
          <w:lang w:val="es-ES_tradnl"/>
        </w:rPr>
        <w:t>.</w:t>
      </w:r>
      <w:r w:rsidRPr="00EE3D94">
        <w:rPr>
          <w:lang w:val="es-ES_tradnl"/>
        </w:rPr>
        <w:t xml:space="preserve"> Administración y Modernización Parlamentaria</w:t>
      </w:r>
      <w:r w:rsidR="003D107D">
        <w:rPr>
          <w:lang w:val="es-ES_tradnl"/>
        </w:rPr>
        <w:t>.</w:t>
      </w:r>
      <w:r w:rsidRPr="00EE3D94">
        <w:rPr>
          <w:lang w:val="es-ES_tradnl"/>
        </w:rPr>
        <w:t xml:space="preserve"> </w:t>
      </w:r>
      <w:r w:rsidRPr="00EE3D94">
        <w:rPr>
          <w:i/>
          <w:lang w:val="es-ES_tradnl"/>
        </w:rPr>
        <w:t>Estado, Gobierno, Gestión Pública, Revista Chilena de Administración Pública</w:t>
      </w:r>
      <w:r w:rsidRPr="00EE3D94">
        <w:rPr>
          <w:lang w:val="es-ES_tradnl"/>
        </w:rPr>
        <w:t xml:space="preserve">, </w:t>
      </w:r>
      <w:r w:rsidR="00A750B9" w:rsidRPr="006735A7">
        <w:rPr>
          <w:i/>
          <w:lang w:val="es-ES_tradnl"/>
        </w:rPr>
        <w:t>2</w:t>
      </w:r>
      <w:r w:rsidR="00A750B9">
        <w:rPr>
          <w:lang w:val="es-ES_tradnl"/>
        </w:rPr>
        <w:t>(</w:t>
      </w:r>
      <w:r w:rsidRPr="00EE3D94">
        <w:rPr>
          <w:lang w:val="es-ES_tradnl"/>
        </w:rPr>
        <w:t>5</w:t>
      </w:r>
      <w:r w:rsidR="00A750B9">
        <w:rPr>
          <w:lang w:val="es-ES_tradnl"/>
        </w:rPr>
        <w:t>)</w:t>
      </w:r>
      <w:r w:rsidRPr="00EE3D94">
        <w:rPr>
          <w:lang w:val="es-ES_tradnl"/>
        </w:rPr>
        <w:t>, 89-95.</w:t>
      </w:r>
    </w:p>
    <w:p w14:paraId="2B1967FE" w14:textId="474EB268" w:rsidR="00EC368B" w:rsidRPr="00EE3D94" w:rsidRDefault="00FC582D" w:rsidP="003D107D">
      <w:pPr>
        <w:pStyle w:val="Textoindependiente"/>
        <w:spacing w:before="100" w:beforeAutospacing="1" w:after="100" w:afterAutospacing="1"/>
        <w:ind w:left="567" w:hanging="567"/>
        <w:jc w:val="both"/>
        <w:rPr>
          <w:lang w:val="es-ES_tradnl"/>
        </w:rPr>
      </w:pPr>
      <w:r w:rsidRPr="00EE3D94">
        <w:rPr>
          <w:lang w:val="es-ES_tradnl"/>
        </w:rPr>
        <w:t xml:space="preserve">Alexy, </w:t>
      </w:r>
      <w:r w:rsidR="00A750B9" w:rsidRPr="00EE3D94">
        <w:rPr>
          <w:lang w:val="es-ES_tradnl"/>
        </w:rPr>
        <w:t>R</w:t>
      </w:r>
      <w:r w:rsidR="00A750B9">
        <w:rPr>
          <w:lang w:val="es-ES_tradnl"/>
        </w:rPr>
        <w:t>.</w:t>
      </w:r>
      <w:r w:rsidR="00A750B9" w:rsidRPr="00EE3D94">
        <w:rPr>
          <w:lang w:val="es-ES_tradnl"/>
        </w:rPr>
        <w:t xml:space="preserve"> </w:t>
      </w:r>
      <w:r w:rsidRPr="00EE3D94">
        <w:rPr>
          <w:lang w:val="es-ES_tradnl"/>
        </w:rPr>
        <w:t>(2006)</w:t>
      </w:r>
      <w:r w:rsidR="00A750B9">
        <w:rPr>
          <w:lang w:val="es-ES_tradnl"/>
        </w:rPr>
        <w:t>.</w:t>
      </w:r>
      <w:r w:rsidRPr="00EE3D94">
        <w:rPr>
          <w:lang w:val="es-ES_tradnl"/>
        </w:rPr>
        <w:t xml:space="preserve"> Los derechos fundamentales en el Estado Constitucional Democrático</w:t>
      </w:r>
      <w:r w:rsidR="003D107D">
        <w:rPr>
          <w:lang w:val="es-ES_tradnl"/>
        </w:rPr>
        <w:t>.</w:t>
      </w:r>
      <w:r w:rsidR="003D107D" w:rsidRPr="00EE3D94">
        <w:rPr>
          <w:lang w:val="es-ES_tradnl"/>
        </w:rPr>
        <w:t xml:space="preserve"> </w:t>
      </w:r>
      <w:r w:rsidR="003D107D">
        <w:rPr>
          <w:lang w:val="es-ES_tradnl"/>
        </w:rPr>
        <w:t>E</w:t>
      </w:r>
      <w:r w:rsidR="003D107D" w:rsidRPr="00EE3D94">
        <w:rPr>
          <w:lang w:val="es-ES_tradnl"/>
        </w:rPr>
        <w:t xml:space="preserve">n </w:t>
      </w:r>
      <w:r w:rsidRPr="00EE3D94">
        <w:rPr>
          <w:lang w:val="es-ES_tradnl"/>
        </w:rPr>
        <w:t xml:space="preserve">Carbonell, </w:t>
      </w:r>
      <w:r w:rsidR="00A750B9" w:rsidRPr="00EE3D94">
        <w:rPr>
          <w:lang w:val="es-ES_tradnl"/>
        </w:rPr>
        <w:t>M</w:t>
      </w:r>
      <w:r w:rsidR="00A750B9">
        <w:rPr>
          <w:lang w:val="es-ES_tradnl"/>
        </w:rPr>
        <w:t>.</w:t>
      </w:r>
      <w:r w:rsidR="0051115E">
        <w:rPr>
          <w:lang w:val="es-ES_tradnl"/>
        </w:rPr>
        <w:t xml:space="preserve"> (Coord.),</w:t>
      </w:r>
      <w:r w:rsidRPr="00EE3D94">
        <w:rPr>
          <w:lang w:val="es-ES_tradnl"/>
        </w:rPr>
        <w:t xml:space="preserve"> </w:t>
      </w:r>
      <w:r w:rsidRPr="00EE3D94">
        <w:rPr>
          <w:i/>
          <w:lang w:val="es-ES_tradnl"/>
        </w:rPr>
        <w:t>Neoconstitucionalismo(s)</w:t>
      </w:r>
      <w:r w:rsidR="00A750B9">
        <w:rPr>
          <w:i/>
          <w:lang w:val="es-ES_tradnl"/>
        </w:rPr>
        <w:t xml:space="preserve"> </w:t>
      </w:r>
      <w:r w:rsidR="00A750B9">
        <w:rPr>
          <w:lang w:val="es-ES_tradnl"/>
        </w:rPr>
        <w:t>(</w:t>
      </w:r>
      <w:r w:rsidR="003D107D">
        <w:rPr>
          <w:lang w:val="es-ES_tradnl"/>
        </w:rPr>
        <w:t xml:space="preserve">pp. </w:t>
      </w:r>
      <w:r w:rsidR="00A750B9">
        <w:rPr>
          <w:lang w:val="es-ES_tradnl"/>
        </w:rPr>
        <w:t>31-48)</w:t>
      </w:r>
      <w:r w:rsidR="00800168" w:rsidRPr="00EE3D94">
        <w:rPr>
          <w:lang w:val="es-ES_tradnl"/>
        </w:rPr>
        <w:t xml:space="preserve">, </w:t>
      </w:r>
      <w:r w:rsidR="00F056ED" w:rsidRPr="00EE3D94">
        <w:rPr>
          <w:lang w:val="es-ES_tradnl"/>
        </w:rPr>
        <w:t>Madrid</w:t>
      </w:r>
      <w:r w:rsidR="00A750B9">
        <w:rPr>
          <w:lang w:val="es-ES_tradnl"/>
        </w:rPr>
        <w:t>, España</w:t>
      </w:r>
      <w:r w:rsidR="00F056ED" w:rsidRPr="00EE3D94">
        <w:rPr>
          <w:lang w:val="es-ES_tradnl"/>
        </w:rPr>
        <w:t>:</w:t>
      </w:r>
      <w:r w:rsidR="002A7FBD" w:rsidRPr="00EE3D94">
        <w:rPr>
          <w:lang w:val="es-ES_tradnl"/>
        </w:rPr>
        <w:t xml:space="preserve"> Editorial Trotta</w:t>
      </w:r>
      <w:r w:rsidR="00800168" w:rsidRPr="00EE3D94">
        <w:rPr>
          <w:lang w:val="es-ES_tradnl"/>
        </w:rPr>
        <w:t>.</w:t>
      </w:r>
    </w:p>
    <w:p w14:paraId="08B73C9D" w14:textId="4533F89E" w:rsidR="00EC368B" w:rsidRPr="00EE3D94" w:rsidRDefault="00EC368B" w:rsidP="003D107D">
      <w:pPr>
        <w:pStyle w:val="Sinespaciado"/>
        <w:ind w:left="567" w:hanging="567"/>
        <w:jc w:val="both"/>
        <w:rPr>
          <w:rFonts w:ascii="Times New Roman" w:eastAsia="Times New Roman" w:hAnsi="Times New Roman" w:cs="Times New Roman"/>
          <w:sz w:val="24"/>
          <w:szCs w:val="24"/>
        </w:rPr>
      </w:pPr>
      <w:r w:rsidRPr="00EE3D94">
        <w:rPr>
          <w:rFonts w:ascii="Times New Roman" w:hAnsi="Times New Roman" w:cs="Times New Roman"/>
          <w:sz w:val="24"/>
          <w:szCs w:val="24"/>
        </w:rPr>
        <w:t xml:space="preserve">Betanzo de la Rosa, </w:t>
      </w:r>
      <w:r w:rsidR="0051115E" w:rsidRPr="00EE3D94">
        <w:rPr>
          <w:rFonts w:ascii="Times New Roman" w:hAnsi="Times New Roman" w:cs="Times New Roman"/>
          <w:sz w:val="24"/>
          <w:szCs w:val="24"/>
        </w:rPr>
        <w:t>A</w:t>
      </w:r>
      <w:r w:rsidR="0051115E">
        <w:rPr>
          <w:rFonts w:ascii="Times New Roman" w:hAnsi="Times New Roman" w:cs="Times New Roman"/>
          <w:sz w:val="24"/>
          <w:szCs w:val="24"/>
        </w:rPr>
        <w:t>.</w:t>
      </w:r>
      <w:r w:rsidR="0051115E" w:rsidRPr="00EE3D94">
        <w:rPr>
          <w:rFonts w:ascii="Times New Roman" w:hAnsi="Times New Roman" w:cs="Times New Roman"/>
          <w:sz w:val="24"/>
          <w:szCs w:val="24"/>
        </w:rPr>
        <w:t xml:space="preserve"> </w:t>
      </w:r>
      <w:r w:rsidRPr="00EE3D94">
        <w:rPr>
          <w:rFonts w:ascii="Times New Roman" w:hAnsi="Times New Roman" w:cs="Times New Roman"/>
          <w:sz w:val="24"/>
          <w:szCs w:val="24"/>
        </w:rPr>
        <w:t>(2008)</w:t>
      </w:r>
      <w:r w:rsidR="003D107D">
        <w:rPr>
          <w:rFonts w:ascii="Times New Roman" w:hAnsi="Times New Roman" w:cs="Times New Roman"/>
          <w:sz w:val="24"/>
          <w:szCs w:val="24"/>
        </w:rPr>
        <w:t>.</w:t>
      </w:r>
      <w:r w:rsidRPr="00EE3D94">
        <w:rPr>
          <w:rFonts w:ascii="Times New Roman" w:hAnsi="Times New Roman" w:cs="Times New Roman"/>
          <w:sz w:val="24"/>
          <w:szCs w:val="24"/>
        </w:rPr>
        <w:t xml:space="preserve"> </w:t>
      </w:r>
      <w:r w:rsidRPr="006735A7">
        <w:rPr>
          <w:rFonts w:ascii="Times New Roman" w:hAnsi="Times New Roman" w:cs="Times New Roman"/>
          <w:i/>
          <w:sz w:val="24"/>
          <w:szCs w:val="24"/>
        </w:rPr>
        <w:t>¿Por qué transparentar las actividades de cabildeo? El caso del presupuesto de Egresos de la Ciudad de México</w:t>
      </w:r>
      <w:r w:rsidRPr="00EE3D94">
        <w:rPr>
          <w:rFonts w:ascii="Times New Roman" w:hAnsi="Times New Roman" w:cs="Times New Roman"/>
          <w:sz w:val="24"/>
          <w:szCs w:val="24"/>
        </w:rPr>
        <w:t>,</w:t>
      </w:r>
      <w:r w:rsidR="003D107D">
        <w:rPr>
          <w:rFonts w:ascii="Times New Roman" w:hAnsi="Times New Roman" w:cs="Times New Roman"/>
          <w:i/>
          <w:sz w:val="24"/>
          <w:szCs w:val="24"/>
        </w:rPr>
        <w:t>.</w:t>
      </w:r>
      <w:r w:rsidR="003D107D" w:rsidRPr="00EE3D94">
        <w:rPr>
          <w:rFonts w:ascii="Times New Roman" w:hAnsi="Times New Roman" w:cs="Times New Roman"/>
          <w:sz w:val="24"/>
          <w:szCs w:val="24"/>
        </w:rPr>
        <w:t xml:space="preserve"> </w:t>
      </w:r>
      <w:r w:rsidR="003D107D">
        <w:rPr>
          <w:rFonts w:ascii="Times New Roman" w:hAnsi="Times New Roman" w:cs="Times New Roman"/>
          <w:sz w:val="24"/>
          <w:szCs w:val="24"/>
        </w:rPr>
        <w:t xml:space="preserve">Ciudad de México, </w:t>
      </w:r>
      <w:r w:rsidR="00F056ED" w:rsidRPr="00EE3D94">
        <w:rPr>
          <w:rFonts w:ascii="Times New Roman" w:hAnsi="Times New Roman" w:cs="Times New Roman"/>
          <w:sz w:val="24"/>
          <w:szCs w:val="24"/>
        </w:rPr>
        <w:t>México: InfoDF.</w:t>
      </w:r>
      <w:r w:rsidRPr="00EE3D94">
        <w:rPr>
          <w:rFonts w:ascii="Times New Roman" w:hAnsi="Times New Roman" w:cs="Times New Roman"/>
          <w:sz w:val="24"/>
          <w:szCs w:val="24"/>
        </w:rPr>
        <w:t xml:space="preserve"> </w:t>
      </w:r>
    </w:p>
    <w:p w14:paraId="107CB491" w14:textId="77777777" w:rsidR="00A5721C" w:rsidRPr="00EE3D94" w:rsidRDefault="00A5721C" w:rsidP="003D107D">
      <w:pPr>
        <w:pStyle w:val="Sinespaciado"/>
        <w:ind w:left="567" w:hanging="567"/>
        <w:jc w:val="both"/>
        <w:rPr>
          <w:rFonts w:ascii="Times New Roman" w:eastAsia="Times New Roman" w:hAnsi="Times New Roman" w:cs="Times New Roman"/>
          <w:sz w:val="24"/>
          <w:szCs w:val="24"/>
        </w:rPr>
      </w:pPr>
    </w:p>
    <w:p w14:paraId="31EC1D45" w14:textId="7AF15DAF" w:rsidR="00E204BA" w:rsidRPr="00EE3D94" w:rsidRDefault="00E204BA" w:rsidP="003D107D">
      <w:pPr>
        <w:pStyle w:val="Sinespaciado"/>
        <w:ind w:left="567" w:hanging="567"/>
        <w:jc w:val="both"/>
        <w:rPr>
          <w:rFonts w:ascii="Times New Roman" w:hAnsi="Times New Roman" w:cs="Times New Roman"/>
          <w:sz w:val="24"/>
          <w:szCs w:val="24"/>
        </w:rPr>
      </w:pPr>
      <w:r w:rsidRPr="00EE3D94">
        <w:rPr>
          <w:rFonts w:ascii="Times New Roman" w:eastAsia="Times New Roman" w:hAnsi="Times New Roman" w:cs="Times New Roman"/>
          <w:sz w:val="24"/>
          <w:szCs w:val="24"/>
        </w:rPr>
        <w:t xml:space="preserve">Campos, </w:t>
      </w:r>
      <w:r w:rsidR="003D107D" w:rsidRPr="00EE3D94">
        <w:rPr>
          <w:rFonts w:ascii="Times New Roman" w:eastAsia="Times New Roman" w:hAnsi="Times New Roman" w:cs="Times New Roman"/>
          <w:sz w:val="24"/>
          <w:szCs w:val="24"/>
        </w:rPr>
        <w:t>E</w:t>
      </w:r>
      <w:r w:rsidR="003D107D">
        <w:rPr>
          <w:rFonts w:ascii="Times New Roman" w:eastAsia="Times New Roman" w:hAnsi="Times New Roman" w:cs="Times New Roman"/>
          <w:sz w:val="24"/>
          <w:szCs w:val="24"/>
        </w:rPr>
        <w:t>.</w:t>
      </w:r>
      <w:r w:rsidR="003D107D" w:rsidRPr="00EE3D94">
        <w:rPr>
          <w:rFonts w:ascii="Times New Roman" w:eastAsia="Times New Roman" w:hAnsi="Times New Roman" w:cs="Times New Roman"/>
          <w:sz w:val="24"/>
          <w:szCs w:val="24"/>
        </w:rPr>
        <w:t xml:space="preserve"> </w:t>
      </w:r>
      <w:r w:rsidRPr="00EE3D94">
        <w:rPr>
          <w:rFonts w:ascii="Times New Roman" w:eastAsia="Times New Roman" w:hAnsi="Times New Roman" w:cs="Times New Roman"/>
          <w:sz w:val="24"/>
          <w:szCs w:val="24"/>
        </w:rPr>
        <w:t>(2003)</w:t>
      </w:r>
      <w:r w:rsidR="00B10474">
        <w:rPr>
          <w:rFonts w:ascii="Times New Roman" w:eastAsia="Times New Roman" w:hAnsi="Times New Roman" w:cs="Times New Roman"/>
          <w:sz w:val="24"/>
          <w:szCs w:val="24"/>
        </w:rPr>
        <w:t>.</w:t>
      </w:r>
      <w:r w:rsidRPr="00EE3D94">
        <w:rPr>
          <w:rFonts w:ascii="Times New Roman" w:eastAsia="Times New Roman" w:hAnsi="Times New Roman" w:cs="Times New Roman"/>
          <w:sz w:val="24"/>
          <w:szCs w:val="24"/>
        </w:rPr>
        <w:t xml:space="preserve"> Un congreso sin congresistas. La no reelección consecutiva en el poder legislativo mexicano: 1934-1997</w:t>
      </w:r>
      <w:r w:rsidR="003D107D">
        <w:rPr>
          <w:rFonts w:ascii="Times New Roman" w:eastAsia="Times New Roman" w:hAnsi="Times New Roman" w:cs="Times New Roman"/>
          <w:sz w:val="24"/>
          <w:szCs w:val="24"/>
        </w:rPr>
        <w:t>.</w:t>
      </w:r>
      <w:r w:rsidRPr="00EE3D94">
        <w:rPr>
          <w:rFonts w:ascii="Times New Roman" w:eastAsia="Times New Roman" w:hAnsi="Times New Roman" w:cs="Times New Roman"/>
          <w:sz w:val="24"/>
          <w:szCs w:val="24"/>
        </w:rPr>
        <w:t xml:space="preserve"> </w:t>
      </w:r>
      <w:r w:rsidR="003D107D">
        <w:rPr>
          <w:rFonts w:ascii="Times New Roman" w:eastAsia="Times New Roman" w:hAnsi="Times New Roman" w:cs="Times New Roman"/>
          <w:sz w:val="24"/>
          <w:szCs w:val="24"/>
        </w:rPr>
        <w:t>E</w:t>
      </w:r>
      <w:r w:rsidR="003D107D" w:rsidRPr="00EE3D94">
        <w:rPr>
          <w:rFonts w:ascii="Times New Roman" w:eastAsia="Times New Roman" w:hAnsi="Times New Roman" w:cs="Times New Roman"/>
          <w:sz w:val="24"/>
          <w:szCs w:val="24"/>
        </w:rPr>
        <w:t xml:space="preserve">n </w:t>
      </w:r>
      <w:r w:rsidRPr="00EE3D94">
        <w:rPr>
          <w:rFonts w:ascii="Times New Roman" w:hAnsi="Times New Roman" w:cs="Times New Roman"/>
          <w:sz w:val="24"/>
          <w:szCs w:val="24"/>
        </w:rPr>
        <w:t>Dworak</w:t>
      </w:r>
      <w:r w:rsidR="003D107D">
        <w:rPr>
          <w:rFonts w:ascii="Times New Roman" w:hAnsi="Times New Roman" w:cs="Times New Roman"/>
          <w:sz w:val="24"/>
          <w:szCs w:val="24"/>
        </w:rPr>
        <w:t>, F.</w:t>
      </w:r>
      <w:r w:rsidRPr="00EE3D94">
        <w:rPr>
          <w:rFonts w:ascii="Times New Roman" w:hAnsi="Times New Roman" w:cs="Times New Roman"/>
          <w:sz w:val="24"/>
          <w:szCs w:val="24"/>
        </w:rPr>
        <w:t xml:space="preserve"> (</w:t>
      </w:r>
      <w:r w:rsidR="003D107D">
        <w:rPr>
          <w:rFonts w:ascii="Times New Roman" w:hAnsi="Times New Roman" w:cs="Times New Roman"/>
          <w:sz w:val="24"/>
          <w:szCs w:val="24"/>
        </w:rPr>
        <w:t>C</w:t>
      </w:r>
      <w:r w:rsidR="003D107D" w:rsidRPr="00EE3D94">
        <w:rPr>
          <w:rFonts w:ascii="Times New Roman" w:hAnsi="Times New Roman" w:cs="Times New Roman"/>
          <w:sz w:val="24"/>
          <w:szCs w:val="24"/>
        </w:rPr>
        <w:t>oord</w:t>
      </w:r>
      <w:r w:rsidRPr="00EE3D94">
        <w:rPr>
          <w:rFonts w:ascii="Times New Roman" w:hAnsi="Times New Roman" w:cs="Times New Roman"/>
          <w:sz w:val="24"/>
          <w:szCs w:val="24"/>
        </w:rPr>
        <w:t>.)</w:t>
      </w:r>
      <w:r w:rsidR="003D107D">
        <w:rPr>
          <w:rFonts w:ascii="Times New Roman" w:hAnsi="Times New Roman" w:cs="Times New Roman"/>
          <w:sz w:val="24"/>
          <w:szCs w:val="24"/>
        </w:rPr>
        <w:t>.</w:t>
      </w:r>
      <w:r w:rsidRPr="00EE3D94">
        <w:rPr>
          <w:rFonts w:ascii="Times New Roman" w:hAnsi="Times New Roman" w:cs="Times New Roman"/>
          <w:sz w:val="24"/>
          <w:szCs w:val="24"/>
        </w:rPr>
        <w:t xml:space="preserve"> </w:t>
      </w:r>
      <w:r w:rsidRPr="00EE3D94">
        <w:rPr>
          <w:rFonts w:ascii="Times New Roman" w:hAnsi="Times New Roman" w:cs="Times New Roman"/>
          <w:i/>
          <w:sz w:val="24"/>
          <w:szCs w:val="24"/>
        </w:rPr>
        <w:t>El Legislador a examen. El debate sobre la reelección legislativa en México</w:t>
      </w:r>
      <w:r w:rsidR="003D107D">
        <w:rPr>
          <w:rFonts w:ascii="Times New Roman" w:hAnsi="Times New Roman" w:cs="Times New Roman"/>
          <w:i/>
          <w:sz w:val="24"/>
          <w:szCs w:val="24"/>
        </w:rPr>
        <w:t xml:space="preserve"> </w:t>
      </w:r>
      <w:r w:rsidR="003D107D">
        <w:rPr>
          <w:rFonts w:ascii="Times New Roman" w:hAnsi="Times New Roman" w:cs="Times New Roman"/>
          <w:sz w:val="24"/>
          <w:szCs w:val="24"/>
        </w:rPr>
        <w:t>(pp. 98-154).</w:t>
      </w:r>
      <w:r w:rsidRPr="00EE3D94">
        <w:rPr>
          <w:rFonts w:ascii="Times New Roman" w:hAnsi="Times New Roman" w:cs="Times New Roman"/>
          <w:sz w:val="24"/>
          <w:szCs w:val="24"/>
        </w:rPr>
        <w:t xml:space="preserve"> </w:t>
      </w:r>
      <w:r w:rsidR="003D107D">
        <w:rPr>
          <w:rFonts w:ascii="Times New Roman" w:hAnsi="Times New Roman" w:cs="Times New Roman"/>
          <w:sz w:val="24"/>
          <w:szCs w:val="24"/>
        </w:rPr>
        <w:t xml:space="preserve">Ciudad de México, </w:t>
      </w:r>
      <w:r w:rsidR="00F056ED" w:rsidRPr="00EE3D94">
        <w:rPr>
          <w:rFonts w:ascii="Times New Roman" w:hAnsi="Times New Roman" w:cs="Times New Roman"/>
          <w:sz w:val="24"/>
          <w:szCs w:val="24"/>
        </w:rPr>
        <w:t>México: FCE/Cámara de Diputados</w:t>
      </w:r>
      <w:r w:rsidR="00800168" w:rsidRPr="00EE3D94">
        <w:rPr>
          <w:rFonts w:ascii="Times New Roman" w:hAnsi="Times New Roman" w:cs="Times New Roman"/>
          <w:sz w:val="24"/>
          <w:szCs w:val="24"/>
        </w:rPr>
        <w:t>.</w:t>
      </w:r>
    </w:p>
    <w:p w14:paraId="3EC898FE" w14:textId="77777777" w:rsidR="00E204BA" w:rsidRPr="00EE3D94" w:rsidRDefault="00E204BA" w:rsidP="003D107D">
      <w:pPr>
        <w:pStyle w:val="Sinespaciado"/>
        <w:ind w:left="567" w:hanging="567"/>
        <w:jc w:val="both"/>
        <w:rPr>
          <w:rFonts w:ascii="Times New Roman" w:eastAsia="Times New Roman" w:hAnsi="Times New Roman" w:cs="Times New Roman"/>
          <w:sz w:val="24"/>
          <w:szCs w:val="24"/>
        </w:rPr>
      </w:pPr>
    </w:p>
    <w:p w14:paraId="5E210675" w14:textId="5DD4EC6C" w:rsidR="00130951" w:rsidRPr="00EE3D94" w:rsidRDefault="00130951" w:rsidP="003D107D">
      <w:pPr>
        <w:pStyle w:val="Sinespaciado"/>
        <w:ind w:left="567" w:hanging="567"/>
        <w:jc w:val="both"/>
        <w:rPr>
          <w:rFonts w:ascii="Times New Roman" w:eastAsia="Times New Roman" w:hAnsi="Times New Roman" w:cs="Times New Roman"/>
          <w:sz w:val="24"/>
          <w:szCs w:val="24"/>
        </w:rPr>
      </w:pPr>
      <w:r w:rsidRPr="00EE3D94">
        <w:rPr>
          <w:rFonts w:ascii="Times New Roman" w:eastAsia="Times New Roman" w:hAnsi="Times New Roman" w:cs="Times New Roman"/>
          <w:sz w:val="24"/>
          <w:szCs w:val="24"/>
        </w:rPr>
        <w:t xml:space="preserve">Carey, </w:t>
      </w:r>
      <w:r w:rsidR="003D107D" w:rsidRPr="00EE3D94">
        <w:rPr>
          <w:rFonts w:ascii="Times New Roman" w:eastAsia="Times New Roman" w:hAnsi="Times New Roman" w:cs="Times New Roman"/>
          <w:sz w:val="24"/>
          <w:szCs w:val="24"/>
        </w:rPr>
        <w:t>J</w:t>
      </w:r>
      <w:r w:rsidR="003D107D">
        <w:rPr>
          <w:rFonts w:ascii="Times New Roman" w:eastAsia="Times New Roman" w:hAnsi="Times New Roman" w:cs="Times New Roman"/>
          <w:sz w:val="24"/>
          <w:szCs w:val="24"/>
        </w:rPr>
        <w:t>.</w:t>
      </w:r>
      <w:r w:rsidR="003D107D" w:rsidRPr="00EE3D94">
        <w:rPr>
          <w:rFonts w:ascii="Times New Roman" w:eastAsia="Times New Roman" w:hAnsi="Times New Roman" w:cs="Times New Roman"/>
          <w:sz w:val="24"/>
          <w:szCs w:val="24"/>
        </w:rPr>
        <w:t xml:space="preserve"> </w:t>
      </w:r>
      <w:r w:rsidRPr="00EE3D94">
        <w:rPr>
          <w:rFonts w:ascii="Times New Roman" w:eastAsia="Times New Roman" w:hAnsi="Times New Roman" w:cs="Times New Roman"/>
          <w:sz w:val="24"/>
          <w:szCs w:val="24"/>
        </w:rPr>
        <w:t>(2006)</w:t>
      </w:r>
      <w:r w:rsidR="003D107D">
        <w:rPr>
          <w:rFonts w:ascii="Times New Roman" w:eastAsia="Times New Roman" w:hAnsi="Times New Roman" w:cs="Times New Roman"/>
          <w:sz w:val="24"/>
          <w:szCs w:val="24"/>
        </w:rPr>
        <w:t>.</w:t>
      </w:r>
      <w:r w:rsidRPr="00EE3D94">
        <w:rPr>
          <w:rFonts w:ascii="Times New Roman" w:eastAsia="Times New Roman" w:hAnsi="Times New Roman" w:cs="Times New Roman"/>
          <w:sz w:val="24"/>
          <w:szCs w:val="24"/>
        </w:rPr>
        <w:t xml:space="preserve"> </w:t>
      </w:r>
      <w:r w:rsidRPr="00EE3D94">
        <w:rPr>
          <w:rFonts w:ascii="Times New Roman" w:eastAsia="Times New Roman" w:hAnsi="Times New Roman" w:cs="Times New Roman"/>
          <w:i/>
          <w:sz w:val="24"/>
          <w:szCs w:val="24"/>
        </w:rPr>
        <w:t>Límites a la reelección y representación legislativa</w:t>
      </w:r>
      <w:r w:rsidR="003D107D">
        <w:rPr>
          <w:rFonts w:ascii="Times New Roman" w:eastAsia="Times New Roman" w:hAnsi="Times New Roman" w:cs="Times New Roman"/>
          <w:sz w:val="24"/>
          <w:szCs w:val="24"/>
        </w:rPr>
        <w:t>.</w:t>
      </w:r>
      <w:r w:rsidR="003D107D" w:rsidRPr="00EE3D94">
        <w:rPr>
          <w:rFonts w:ascii="Times New Roman" w:eastAsia="Times New Roman" w:hAnsi="Times New Roman" w:cs="Times New Roman"/>
          <w:sz w:val="24"/>
          <w:szCs w:val="24"/>
        </w:rPr>
        <w:t xml:space="preserve"> </w:t>
      </w:r>
      <w:r w:rsidR="003D107D">
        <w:rPr>
          <w:rFonts w:ascii="Times New Roman" w:eastAsia="Times New Roman" w:hAnsi="Times New Roman" w:cs="Times New Roman"/>
          <w:sz w:val="24"/>
          <w:szCs w:val="24"/>
        </w:rPr>
        <w:t xml:space="preserve">Ciudad de México, </w:t>
      </w:r>
      <w:r w:rsidR="00F056ED" w:rsidRPr="00EE3D94">
        <w:rPr>
          <w:rFonts w:ascii="Times New Roman" w:eastAsia="Times New Roman" w:hAnsi="Times New Roman" w:cs="Times New Roman"/>
          <w:sz w:val="24"/>
          <w:szCs w:val="24"/>
        </w:rPr>
        <w:t>México: CIDE.</w:t>
      </w:r>
      <w:r w:rsidRPr="00EE3D94">
        <w:rPr>
          <w:rFonts w:ascii="Times New Roman" w:eastAsia="Times New Roman" w:hAnsi="Times New Roman" w:cs="Times New Roman"/>
          <w:sz w:val="24"/>
          <w:szCs w:val="24"/>
        </w:rPr>
        <w:t xml:space="preserve"> </w:t>
      </w:r>
    </w:p>
    <w:p w14:paraId="17FA8F78" w14:textId="77777777" w:rsidR="00130951" w:rsidRPr="00EE3D94" w:rsidRDefault="00130951" w:rsidP="003D107D">
      <w:pPr>
        <w:pStyle w:val="Sinespaciado"/>
        <w:ind w:left="567" w:hanging="567"/>
        <w:jc w:val="both"/>
        <w:rPr>
          <w:rFonts w:ascii="Times New Roman" w:eastAsia="Times New Roman" w:hAnsi="Times New Roman" w:cs="Times New Roman"/>
          <w:sz w:val="24"/>
          <w:szCs w:val="24"/>
        </w:rPr>
      </w:pPr>
    </w:p>
    <w:p w14:paraId="1B27D0E1" w14:textId="0A37F992" w:rsidR="00A5721C" w:rsidRPr="00EE3D94" w:rsidRDefault="00A5721C" w:rsidP="003D107D">
      <w:pPr>
        <w:pStyle w:val="Sinespaciado"/>
        <w:ind w:left="567" w:hanging="567"/>
        <w:jc w:val="both"/>
        <w:rPr>
          <w:rFonts w:ascii="Times New Roman" w:hAnsi="Times New Roman" w:cs="Times New Roman"/>
          <w:sz w:val="24"/>
          <w:szCs w:val="24"/>
        </w:rPr>
      </w:pPr>
      <w:r w:rsidRPr="00EE3D94">
        <w:rPr>
          <w:rFonts w:ascii="Times New Roman" w:hAnsi="Times New Roman" w:cs="Times New Roman"/>
          <w:sz w:val="24"/>
          <w:szCs w:val="24"/>
        </w:rPr>
        <w:t xml:space="preserve">Casar, </w:t>
      </w:r>
      <w:r w:rsidR="003D107D" w:rsidRPr="00EE3D94">
        <w:rPr>
          <w:rFonts w:ascii="Times New Roman" w:hAnsi="Times New Roman" w:cs="Times New Roman"/>
          <w:sz w:val="24"/>
          <w:szCs w:val="24"/>
        </w:rPr>
        <w:t>M</w:t>
      </w:r>
      <w:r w:rsidR="003D107D">
        <w:rPr>
          <w:rFonts w:ascii="Times New Roman" w:hAnsi="Times New Roman" w:cs="Times New Roman"/>
          <w:sz w:val="24"/>
          <w:szCs w:val="24"/>
        </w:rPr>
        <w:t>.</w:t>
      </w:r>
      <w:r w:rsidRPr="00EE3D94">
        <w:rPr>
          <w:rFonts w:ascii="Times New Roman" w:hAnsi="Times New Roman" w:cs="Times New Roman"/>
          <w:sz w:val="24"/>
          <w:szCs w:val="24"/>
        </w:rPr>
        <w:t xml:space="preserve">, Marván, </w:t>
      </w:r>
      <w:r w:rsidR="003D107D" w:rsidRPr="00EE3D94">
        <w:rPr>
          <w:rFonts w:ascii="Times New Roman" w:hAnsi="Times New Roman" w:cs="Times New Roman"/>
          <w:sz w:val="24"/>
          <w:szCs w:val="24"/>
        </w:rPr>
        <w:t>M</w:t>
      </w:r>
      <w:r w:rsidR="003D107D">
        <w:rPr>
          <w:rFonts w:ascii="Times New Roman" w:hAnsi="Times New Roman" w:cs="Times New Roman"/>
          <w:sz w:val="24"/>
          <w:szCs w:val="24"/>
        </w:rPr>
        <w:t>.</w:t>
      </w:r>
      <w:r w:rsidR="003D107D" w:rsidRPr="00EE3D94">
        <w:rPr>
          <w:rFonts w:ascii="Times New Roman" w:hAnsi="Times New Roman" w:cs="Times New Roman"/>
          <w:sz w:val="24"/>
          <w:szCs w:val="24"/>
        </w:rPr>
        <w:t xml:space="preserve"> </w:t>
      </w:r>
      <w:r w:rsidRPr="00EE3D94">
        <w:rPr>
          <w:rFonts w:ascii="Times New Roman" w:hAnsi="Times New Roman" w:cs="Times New Roman"/>
          <w:sz w:val="24"/>
          <w:szCs w:val="24"/>
        </w:rPr>
        <w:t xml:space="preserve">y Puente, </w:t>
      </w:r>
      <w:r w:rsidR="003D107D" w:rsidRPr="00EE3D94">
        <w:rPr>
          <w:rFonts w:ascii="Times New Roman" w:hAnsi="Times New Roman" w:cs="Times New Roman"/>
          <w:sz w:val="24"/>
          <w:szCs w:val="24"/>
        </w:rPr>
        <w:t>K</w:t>
      </w:r>
      <w:r w:rsidR="003D107D">
        <w:rPr>
          <w:rFonts w:ascii="Times New Roman" w:hAnsi="Times New Roman" w:cs="Times New Roman"/>
          <w:sz w:val="24"/>
          <w:szCs w:val="24"/>
        </w:rPr>
        <w:t>.</w:t>
      </w:r>
      <w:r w:rsidR="003D107D" w:rsidRPr="00EE3D94">
        <w:rPr>
          <w:rFonts w:ascii="Times New Roman" w:hAnsi="Times New Roman" w:cs="Times New Roman"/>
          <w:sz w:val="24"/>
          <w:szCs w:val="24"/>
        </w:rPr>
        <w:t xml:space="preserve"> </w:t>
      </w:r>
      <w:r w:rsidRPr="00EE3D94">
        <w:rPr>
          <w:rFonts w:ascii="Times New Roman" w:hAnsi="Times New Roman" w:cs="Times New Roman"/>
          <w:sz w:val="24"/>
          <w:szCs w:val="24"/>
        </w:rPr>
        <w:t>(2010</w:t>
      </w:r>
      <w:r w:rsidR="003D107D" w:rsidRPr="00EE3D94">
        <w:rPr>
          <w:rFonts w:ascii="Times New Roman" w:hAnsi="Times New Roman" w:cs="Times New Roman"/>
          <w:sz w:val="24"/>
          <w:szCs w:val="24"/>
        </w:rPr>
        <w:t>)</w:t>
      </w:r>
      <w:r w:rsidR="003D107D">
        <w:rPr>
          <w:rFonts w:ascii="Times New Roman" w:hAnsi="Times New Roman" w:cs="Times New Roman"/>
          <w:sz w:val="24"/>
          <w:szCs w:val="24"/>
        </w:rPr>
        <w:t>.</w:t>
      </w:r>
      <w:r w:rsidR="003D107D" w:rsidRPr="00EE3D94">
        <w:rPr>
          <w:rFonts w:ascii="Times New Roman" w:hAnsi="Times New Roman" w:cs="Times New Roman"/>
          <w:sz w:val="24"/>
          <w:szCs w:val="24"/>
        </w:rPr>
        <w:t xml:space="preserve"> </w:t>
      </w:r>
      <w:r w:rsidRPr="00EE3D94">
        <w:rPr>
          <w:rFonts w:ascii="Times New Roman" w:hAnsi="Times New Roman" w:cs="Times New Roman"/>
          <w:sz w:val="24"/>
          <w:szCs w:val="24"/>
        </w:rPr>
        <w:t>La rendición de cuentas y el Poder Legislativo</w:t>
      </w:r>
      <w:r w:rsidR="003D107D">
        <w:rPr>
          <w:rFonts w:ascii="Times New Roman" w:hAnsi="Times New Roman" w:cs="Times New Roman"/>
          <w:sz w:val="24"/>
          <w:szCs w:val="24"/>
        </w:rPr>
        <w:t>.</w:t>
      </w:r>
      <w:r w:rsidR="003D107D" w:rsidRPr="00EE3D94">
        <w:rPr>
          <w:rFonts w:ascii="Times New Roman" w:hAnsi="Times New Roman" w:cs="Times New Roman"/>
          <w:sz w:val="24"/>
          <w:szCs w:val="24"/>
        </w:rPr>
        <w:t xml:space="preserve"> </w:t>
      </w:r>
      <w:r w:rsidR="003D107D">
        <w:rPr>
          <w:rFonts w:ascii="Times New Roman" w:hAnsi="Times New Roman" w:cs="Times New Roman"/>
          <w:sz w:val="24"/>
          <w:szCs w:val="24"/>
        </w:rPr>
        <w:t>E</w:t>
      </w:r>
      <w:r w:rsidR="003D107D" w:rsidRPr="00EE3D94">
        <w:rPr>
          <w:rFonts w:ascii="Times New Roman" w:hAnsi="Times New Roman" w:cs="Times New Roman"/>
          <w:sz w:val="24"/>
          <w:szCs w:val="24"/>
        </w:rPr>
        <w:t xml:space="preserve">n </w:t>
      </w:r>
      <w:r w:rsidRPr="00EE3D94">
        <w:rPr>
          <w:rFonts w:ascii="Times New Roman" w:hAnsi="Times New Roman" w:cs="Times New Roman"/>
          <w:sz w:val="24"/>
          <w:szCs w:val="24"/>
        </w:rPr>
        <w:t>Merino,</w:t>
      </w:r>
      <w:r w:rsidR="003D107D">
        <w:rPr>
          <w:rFonts w:ascii="Times New Roman" w:hAnsi="Times New Roman" w:cs="Times New Roman"/>
          <w:sz w:val="24"/>
          <w:szCs w:val="24"/>
        </w:rPr>
        <w:t xml:space="preserve"> M.,</w:t>
      </w:r>
      <w:r w:rsidRPr="00EE3D94">
        <w:rPr>
          <w:rFonts w:ascii="Times New Roman" w:hAnsi="Times New Roman" w:cs="Times New Roman"/>
          <w:sz w:val="24"/>
          <w:szCs w:val="24"/>
        </w:rPr>
        <w:t xml:space="preserve"> López</w:t>
      </w:r>
      <w:r w:rsidR="003D107D">
        <w:rPr>
          <w:rFonts w:ascii="Times New Roman" w:hAnsi="Times New Roman" w:cs="Times New Roman"/>
          <w:sz w:val="24"/>
          <w:szCs w:val="24"/>
        </w:rPr>
        <w:t>, S.</w:t>
      </w:r>
      <w:r w:rsidRPr="00EE3D94">
        <w:rPr>
          <w:rFonts w:ascii="Times New Roman" w:hAnsi="Times New Roman" w:cs="Times New Roman"/>
          <w:sz w:val="24"/>
          <w:szCs w:val="24"/>
        </w:rPr>
        <w:t xml:space="preserve"> y Cejudo </w:t>
      </w:r>
      <w:r w:rsidR="003D107D">
        <w:rPr>
          <w:rFonts w:ascii="Times New Roman" w:hAnsi="Times New Roman" w:cs="Times New Roman"/>
          <w:sz w:val="24"/>
          <w:szCs w:val="24"/>
        </w:rPr>
        <w:t xml:space="preserve"> G. </w:t>
      </w:r>
      <w:r w:rsidRPr="00EE3D94">
        <w:rPr>
          <w:rFonts w:ascii="Times New Roman" w:hAnsi="Times New Roman" w:cs="Times New Roman"/>
          <w:sz w:val="24"/>
          <w:szCs w:val="24"/>
        </w:rPr>
        <w:t>(</w:t>
      </w:r>
      <w:r w:rsidR="003D107D">
        <w:rPr>
          <w:rFonts w:ascii="Times New Roman" w:hAnsi="Times New Roman" w:cs="Times New Roman"/>
          <w:sz w:val="24"/>
          <w:szCs w:val="24"/>
        </w:rPr>
        <w:t>C</w:t>
      </w:r>
      <w:r w:rsidR="003D107D" w:rsidRPr="00EE3D94">
        <w:rPr>
          <w:rFonts w:ascii="Times New Roman" w:hAnsi="Times New Roman" w:cs="Times New Roman"/>
          <w:sz w:val="24"/>
          <w:szCs w:val="24"/>
        </w:rPr>
        <w:t>oords.)</w:t>
      </w:r>
      <w:r w:rsidR="003D107D">
        <w:rPr>
          <w:rFonts w:ascii="Times New Roman" w:hAnsi="Times New Roman" w:cs="Times New Roman"/>
          <w:sz w:val="24"/>
          <w:szCs w:val="24"/>
        </w:rPr>
        <w:t>.</w:t>
      </w:r>
      <w:r w:rsidR="003D107D" w:rsidRPr="00EE3D94">
        <w:rPr>
          <w:rFonts w:ascii="Times New Roman" w:hAnsi="Times New Roman" w:cs="Times New Roman"/>
          <w:sz w:val="24"/>
          <w:szCs w:val="24"/>
        </w:rPr>
        <w:t xml:space="preserve"> </w:t>
      </w:r>
      <w:r w:rsidRPr="00EE3D94">
        <w:rPr>
          <w:rFonts w:ascii="Times New Roman" w:hAnsi="Times New Roman" w:cs="Times New Roman"/>
          <w:i/>
          <w:sz w:val="24"/>
          <w:szCs w:val="24"/>
        </w:rPr>
        <w:t>La estructura de la rendición de cuentas en México</w:t>
      </w:r>
      <w:r w:rsidR="003D107D">
        <w:rPr>
          <w:rFonts w:ascii="Times New Roman" w:hAnsi="Times New Roman" w:cs="Times New Roman"/>
          <w:i/>
          <w:sz w:val="24"/>
          <w:szCs w:val="24"/>
        </w:rPr>
        <w:t xml:space="preserve"> </w:t>
      </w:r>
      <w:r w:rsidR="003D107D">
        <w:rPr>
          <w:rFonts w:ascii="Times New Roman" w:hAnsi="Times New Roman" w:cs="Times New Roman"/>
          <w:sz w:val="24"/>
          <w:szCs w:val="24"/>
        </w:rPr>
        <w:t>(pp. 331-405). Ciudad de México,</w:t>
      </w:r>
      <w:r w:rsidR="003D107D" w:rsidRPr="00EE3D94">
        <w:rPr>
          <w:rFonts w:ascii="Times New Roman" w:hAnsi="Times New Roman" w:cs="Times New Roman"/>
          <w:sz w:val="24"/>
          <w:szCs w:val="24"/>
        </w:rPr>
        <w:t xml:space="preserve"> </w:t>
      </w:r>
      <w:r w:rsidRPr="00EE3D94">
        <w:rPr>
          <w:rFonts w:ascii="Times New Roman" w:hAnsi="Times New Roman" w:cs="Times New Roman"/>
          <w:sz w:val="24"/>
          <w:szCs w:val="24"/>
        </w:rPr>
        <w:t>México: Instituto de Investigaciones Jurídicas-CIDE.</w:t>
      </w:r>
    </w:p>
    <w:p w14:paraId="116C0512" w14:textId="77777777" w:rsidR="00323CEA" w:rsidRPr="00EE3D94" w:rsidRDefault="00323CEA" w:rsidP="003D107D">
      <w:pPr>
        <w:pStyle w:val="Sinespaciado"/>
        <w:ind w:left="567" w:hanging="567"/>
        <w:jc w:val="both"/>
        <w:rPr>
          <w:rFonts w:ascii="Times New Roman" w:hAnsi="Times New Roman" w:cs="Times New Roman"/>
          <w:sz w:val="24"/>
          <w:szCs w:val="24"/>
        </w:rPr>
      </w:pPr>
    </w:p>
    <w:p w14:paraId="6ED0D4D5" w14:textId="6DF26C74" w:rsidR="00323CEA" w:rsidRPr="00EE3D94" w:rsidRDefault="00323CEA" w:rsidP="003D107D">
      <w:pPr>
        <w:pStyle w:val="Cuerpo"/>
        <w:ind w:left="567" w:hanging="567"/>
        <w:jc w:val="both"/>
        <w:rPr>
          <w:rFonts w:hAnsi="Times New Roman" w:cs="Times New Roman"/>
        </w:rPr>
      </w:pPr>
      <w:r w:rsidRPr="00EE3D94">
        <w:rPr>
          <w:rFonts w:hAnsi="Times New Roman" w:cs="Times New Roman"/>
        </w:rPr>
        <w:t xml:space="preserve">Cavero Pérez, </w:t>
      </w:r>
      <w:r w:rsidR="003D107D" w:rsidRPr="00EE3D94">
        <w:rPr>
          <w:rFonts w:hAnsi="Times New Roman" w:cs="Times New Roman"/>
        </w:rPr>
        <w:t>E</w:t>
      </w:r>
      <w:r w:rsidR="003D107D">
        <w:rPr>
          <w:rFonts w:hAnsi="Times New Roman" w:cs="Times New Roman"/>
        </w:rPr>
        <w:t>.</w:t>
      </w:r>
      <w:r w:rsidR="003D107D" w:rsidRPr="00EE3D94">
        <w:rPr>
          <w:rFonts w:hAnsi="Times New Roman" w:cs="Times New Roman"/>
        </w:rPr>
        <w:t xml:space="preserve"> </w:t>
      </w:r>
      <w:r w:rsidRPr="00EE3D94">
        <w:rPr>
          <w:rFonts w:hAnsi="Times New Roman" w:cs="Times New Roman"/>
        </w:rPr>
        <w:t>(2010)</w:t>
      </w:r>
      <w:r w:rsidR="003D107D">
        <w:rPr>
          <w:rFonts w:hAnsi="Times New Roman" w:cs="Times New Roman"/>
        </w:rPr>
        <w:t>.</w:t>
      </w:r>
      <w:r w:rsidRPr="00EE3D94">
        <w:rPr>
          <w:rFonts w:hAnsi="Times New Roman" w:cs="Times New Roman"/>
        </w:rPr>
        <w:t xml:space="preserve"> Sistemas de Información e investigación parlamentaria</w:t>
      </w:r>
      <w:r w:rsidR="003D107D">
        <w:rPr>
          <w:rFonts w:hAnsi="Times New Roman" w:cs="Times New Roman"/>
        </w:rPr>
        <w:t>.</w:t>
      </w:r>
      <w:r w:rsidR="003D107D" w:rsidRPr="00EE3D94">
        <w:rPr>
          <w:rFonts w:hAnsi="Times New Roman" w:cs="Times New Roman"/>
        </w:rPr>
        <w:t xml:space="preserve"> </w:t>
      </w:r>
      <w:r w:rsidRPr="00EE3D94">
        <w:rPr>
          <w:rFonts w:hAnsi="Times New Roman" w:cs="Times New Roman"/>
          <w:i/>
        </w:rPr>
        <w:t>Cuadernos de investigación</w:t>
      </w:r>
      <w:r w:rsidRPr="00EE3D94">
        <w:rPr>
          <w:rFonts w:hAnsi="Times New Roman" w:cs="Times New Roman"/>
        </w:rPr>
        <w:t xml:space="preserve"> 20, CESOP/ Cámara de  Diputados</w:t>
      </w:r>
      <w:r w:rsidR="008461D0">
        <w:rPr>
          <w:rFonts w:hAnsi="Times New Roman" w:cs="Times New Roman"/>
        </w:rPr>
        <w:t>, México</w:t>
      </w:r>
      <w:r w:rsidR="00CF27B8">
        <w:rPr>
          <w:rFonts w:hAnsi="Times New Roman" w:cs="Times New Roman"/>
        </w:rPr>
        <w:t>.</w:t>
      </w:r>
    </w:p>
    <w:p w14:paraId="780B50F0" w14:textId="77777777" w:rsidR="00323CEA" w:rsidRPr="00EE3D94" w:rsidRDefault="00323CEA" w:rsidP="003D107D">
      <w:pPr>
        <w:pStyle w:val="Sinespaciado"/>
        <w:ind w:left="567" w:hanging="567"/>
        <w:jc w:val="both"/>
        <w:rPr>
          <w:rFonts w:ascii="Times New Roman" w:eastAsia="Times New Roman" w:hAnsi="Times New Roman" w:cs="Times New Roman"/>
          <w:sz w:val="24"/>
          <w:szCs w:val="24"/>
        </w:rPr>
      </w:pPr>
    </w:p>
    <w:p w14:paraId="593A5168" w14:textId="554A1A55" w:rsidR="009A5B24" w:rsidRPr="00EE3D94" w:rsidRDefault="009A5B24" w:rsidP="003D107D">
      <w:pPr>
        <w:pStyle w:val="Cuerpo"/>
        <w:ind w:left="567" w:hanging="567"/>
        <w:jc w:val="both"/>
        <w:rPr>
          <w:rFonts w:hAnsi="Times New Roman" w:cs="Times New Roman"/>
        </w:rPr>
      </w:pPr>
      <w:r w:rsidRPr="00EE3D94">
        <w:rPr>
          <w:rFonts w:hAnsi="Times New Roman" w:cs="Times New Roman"/>
        </w:rPr>
        <w:t>Corporación Latinobarómetro</w:t>
      </w:r>
      <w:r w:rsidR="003D107D">
        <w:rPr>
          <w:rFonts w:hAnsi="Times New Roman" w:cs="Times New Roman"/>
        </w:rPr>
        <w:t>.</w:t>
      </w:r>
      <w:r w:rsidRPr="00EE3D94">
        <w:rPr>
          <w:rFonts w:hAnsi="Times New Roman" w:cs="Times New Roman"/>
        </w:rPr>
        <w:t xml:space="preserve"> (2015</w:t>
      </w:r>
      <w:r w:rsidR="003D107D" w:rsidRPr="00EE3D94">
        <w:rPr>
          <w:rFonts w:hAnsi="Times New Roman" w:cs="Times New Roman"/>
        </w:rPr>
        <w:t>)</w:t>
      </w:r>
      <w:r w:rsidR="003D107D">
        <w:rPr>
          <w:rFonts w:hAnsi="Times New Roman" w:cs="Times New Roman"/>
        </w:rPr>
        <w:t>.</w:t>
      </w:r>
      <w:r w:rsidR="003D107D" w:rsidRPr="00EE3D94">
        <w:rPr>
          <w:rFonts w:hAnsi="Times New Roman" w:cs="Times New Roman"/>
        </w:rPr>
        <w:t xml:space="preserve"> </w:t>
      </w:r>
      <w:r w:rsidRPr="00EE3D94">
        <w:rPr>
          <w:rFonts w:hAnsi="Times New Roman" w:cs="Times New Roman"/>
          <w:i/>
        </w:rPr>
        <w:t>Latinobarómetro 2015</w:t>
      </w:r>
      <w:r w:rsidR="003D107D">
        <w:rPr>
          <w:rFonts w:hAnsi="Times New Roman" w:cs="Times New Roman"/>
        </w:rPr>
        <w:t>.</w:t>
      </w:r>
      <w:r w:rsidR="003D107D" w:rsidRPr="00EE3D94">
        <w:rPr>
          <w:rFonts w:hAnsi="Times New Roman" w:cs="Times New Roman"/>
        </w:rPr>
        <w:t xml:space="preserve"> </w:t>
      </w:r>
      <w:r w:rsidR="003D107D">
        <w:rPr>
          <w:rFonts w:hAnsi="Times New Roman" w:cs="Times New Roman"/>
        </w:rPr>
        <w:t>Recuperado de</w:t>
      </w:r>
      <w:r w:rsidRPr="00EE3D94">
        <w:rPr>
          <w:rFonts w:hAnsi="Times New Roman" w:cs="Times New Roman"/>
        </w:rPr>
        <w:t xml:space="preserve"> </w:t>
      </w:r>
      <w:hyperlink r:id="rId15" w:history="1">
        <w:r w:rsidRPr="00EE3D94">
          <w:rPr>
            <w:rStyle w:val="Hipervnculo"/>
            <w:rFonts w:hAnsi="Times New Roman" w:cs="Times New Roman"/>
          </w:rPr>
          <w:t>www.latinobarometro.org</w:t>
        </w:r>
      </w:hyperlink>
      <w:r w:rsidRPr="00EE3D94">
        <w:rPr>
          <w:rFonts w:hAnsi="Times New Roman" w:cs="Times New Roman"/>
        </w:rPr>
        <w:t>.</w:t>
      </w:r>
    </w:p>
    <w:p w14:paraId="67BD0373" w14:textId="77777777" w:rsidR="009A5B24" w:rsidRPr="00EE3D94" w:rsidRDefault="009A5B24" w:rsidP="003D107D">
      <w:pPr>
        <w:pStyle w:val="Sinespaciado"/>
        <w:ind w:left="567" w:hanging="567"/>
        <w:jc w:val="both"/>
        <w:rPr>
          <w:rFonts w:ascii="Times New Roman" w:eastAsia="Times New Roman" w:hAnsi="Times New Roman" w:cs="Times New Roman"/>
          <w:sz w:val="24"/>
          <w:szCs w:val="24"/>
        </w:rPr>
      </w:pPr>
    </w:p>
    <w:p w14:paraId="43587B6E" w14:textId="0DE523C4" w:rsidR="00A5721C" w:rsidRPr="00EE3D94" w:rsidRDefault="00A5721C" w:rsidP="003D107D">
      <w:pPr>
        <w:pStyle w:val="Cuerpo"/>
        <w:ind w:left="567" w:hanging="567"/>
        <w:jc w:val="both"/>
        <w:rPr>
          <w:rFonts w:hAnsi="Times New Roman" w:cs="Times New Roman"/>
        </w:rPr>
      </w:pPr>
      <w:r w:rsidRPr="00EE3D94">
        <w:rPr>
          <w:rFonts w:hAnsi="Times New Roman" w:cs="Times New Roman"/>
        </w:rPr>
        <w:t xml:space="preserve">Cunill, </w:t>
      </w:r>
      <w:r w:rsidR="003D107D" w:rsidRPr="00EE3D94">
        <w:rPr>
          <w:rFonts w:hAnsi="Times New Roman" w:cs="Times New Roman"/>
        </w:rPr>
        <w:t>N</w:t>
      </w:r>
      <w:r w:rsidR="00F06914">
        <w:rPr>
          <w:rFonts w:hAnsi="Times New Roman" w:cs="Times New Roman"/>
        </w:rPr>
        <w:t>uria,</w:t>
      </w:r>
      <w:r w:rsidR="003D107D" w:rsidRPr="00EE3D94">
        <w:rPr>
          <w:rFonts w:hAnsi="Times New Roman" w:cs="Times New Roman"/>
        </w:rPr>
        <w:t xml:space="preserve"> </w:t>
      </w:r>
      <w:r w:rsidRPr="00EE3D94">
        <w:rPr>
          <w:rFonts w:hAnsi="Times New Roman" w:cs="Times New Roman"/>
        </w:rPr>
        <w:t>(2007)</w:t>
      </w:r>
      <w:r w:rsidR="003D107D">
        <w:rPr>
          <w:rFonts w:hAnsi="Times New Roman" w:cs="Times New Roman"/>
        </w:rPr>
        <w:t>.</w:t>
      </w:r>
      <w:r w:rsidRPr="00EE3D94">
        <w:rPr>
          <w:rFonts w:hAnsi="Times New Roman" w:cs="Times New Roman"/>
        </w:rPr>
        <w:t xml:space="preserve"> La rendición de cuentas y el control social. Una aproximación conceptual</w:t>
      </w:r>
      <w:r w:rsidR="003D107D">
        <w:rPr>
          <w:rFonts w:hAnsi="Times New Roman" w:cs="Times New Roman"/>
        </w:rPr>
        <w:t>.</w:t>
      </w:r>
      <w:r w:rsidR="003D107D" w:rsidRPr="00EE3D94">
        <w:rPr>
          <w:rFonts w:hAnsi="Times New Roman" w:cs="Times New Roman"/>
        </w:rPr>
        <w:t xml:space="preserve"> </w:t>
      </w:r>
      <w:r w:rsidR="00B14D16" w:rsidRPr="00EE3D94">
        <w:rPr>
          <w:rFonts w:hAnsi="Times New Roman" w:cs="Times New Roman"/>
        </w:rPr>
        <w:t xml:space="preserve"> </w:t>
      </w:r>
      <w:r w:rsidRPr="00EE3D94">
        <w:rPr>
          <w:rFonts w:hAnsi="Times New Roman" w:cs="Times New Roman"/>
          <w:i/>
        </w:rPr>
        <w:t>Conference Paper CLAD, Seminario Internacional Ciudadanos y Derechos. Protección de programas sociales y construcción ciudadana</w:t>
      </w:r>
      <w:r w:rsidR="00B14D16">
        <w:rPr>
          <w:rFonts w:hAnsi="Times New Roman" w:cs="Times New Roman"/>
        </w:rPr>
        <w:t xml:space="preserve">. </w:t>
      </w:r>
      <w:r w:rsidR="00F06914">
        <w:rPr>
          <w:rFonts w:hAnsi="Times New Roman" w:cs="Times New Roman"/>
        </w:rPr>
        <w:t xml:space="preserve">25-27 de abril, </w:t>
      </w:r>
      <w:r w:rsidR="00FF5C00">
        <w:rPr>
          <w:rFonts w:hAnsi="Times New Roman" w:cs="Times New Roman"/>
        </w:rPr>
        <w:t>Ciudad de México.</w:t>
      </w:r>
    </w:p>
    <w:p w14:paraId="7BA73097" w14:textId="77777777" w:rsidR="00323CEA" w:rsidRPr="00EE3D94" w:rsidRDefault="00323CEA" w:rsidP="003D107D">
      <w:pPr>
        <w:pStyle w:val="Cuerpo"/>
        <w:ind w:left="567" w:hanging="567"/>
        <w:jc w:val="both"/>
        <w:rPr>
          <w:rFonts w:hAnsi="Times New Roman" w:cs="Times New Roman"/>
        </w:rPr>
      </w:pPr>
    </w:p>
    <w:p w14:paraId="57FFFED9" w14:textId="3156480F" w:rsidR="00323CEA" w:rsidRPr="00EE3D94" w:rsidRDefault="00323CEA" w:rsidP="003D107D">
      <w:pPr>
        <w:pStyle w:val="Cuerpo"/>
        <w:ind w:left="567" w:hanging="567"/>
        <w:jc w:val="both"/>
        <w:rPr>
          <w:rFonts w:hAnsi="Times New Roman" w:cs="Times New Roman"/>
        </w:rPr>
      </w:pPr>
      <w:r w:rsidRPr="006735A7">
        <w:rPr>
          <w:rFonts w:hAnsi="Times New Roman" w:cs="Times New Roman"/>
          <w:i/>
        </w:rPr>
        <w:t>Declaración sobre la Transparencia Parlamentaria</w:t>
      </w:r>
      <w:r w:rsidR="00B14D16" w:rsidRPr="006735A7">
        <w:rPr>
          <w:rFonts w:hAnsi="Times New Roman" w:cs="Times New Roman"/>
          <w:i/>
        </w:rPr>
        <w:t>.</w:t>
      </w:r>
      <w:r w:rsidRPr="00EE3D94">
        <w:rPr>
          <w:rFonts w:hAnsi="Times New Roman" w:cs="Times New Roman"/>
        </w:rPr>
        <w:t xml:space="preserve"> (2012)</w:t>
      </w:r>
      <w:r w:rsidR="00B14D16">
        <w:rPr>
          <w:rFonts w:hAnsi="Times New Roman" w:cs="Times New Roman"/>
        </w:rPr>
        <w:t>.</w:t>
      </w:r>
      <w:r w:rsidRPr="00EE3D94">
        <w:rPr>
          <w:rFonts w:hAnsi="Times New Roman" w:cs="Times New Roman"/>
        </w:rPr>
        <w:t xml:space="preserve"> </w:t>
      </w:r>
      <w:r w:rsidR="00B14D16">
        <w:rPr>
          <w:rFonts w:hAnsi="Times New Roman" w:cs="Times New Roman"/>
        </w:rPr>
        <w:t>Recuperado de</w:t>
      </w:r>
      <w:r w:rsidRPr="00EE3D94">
        <w:rPr>
          <w:rFonts w:hAnsi="Times New Roman" w:cs="Times New Roman"/>
        </w:rPr>
        <w:t xml:space="preserve"> </w:t>
      </w:r>
      <w:hyperlink r:id="rId16" w:history="1">
        <w:r w:rsidRPr="00EE3D94">
          <w:rPr>
            <w:rStyle w:val="Hipervnculo"/>
            <w:rFonts w:hAnsi="Times New Roman" w:cs="Times New Roman"/>
          </w:rPr>
          <w:t>http://www.openingparliamentar.org/declaration</w:t>
        </w:r>
      </w:hyperlink>
      <w:r w:rsidRPr="00EE3D94">
        <w:rPr>
          <w:rFonts w:hAnsi="Times New Roman" w:cs="Times New Roman"/>
        </w:rPr>
        <w:t xml:space="preserve"> </w:t>
      </w:r>
    </w:p>
    <w:p w14:paraId="7BB56FD1" w14:textId="77777777" w:rsidR="00130951" w:rsidRPr="00EE3D94" w:rsidRDefault="00130951" w:rsidP="003D107D">
      <w:pPr>
        <w:pStyle w:val="Cuerpo"/>
        <w:ind w:left="567" w:hanging="567"/>
        <w:jc w:val="both"/>
        <w:rPr>
          <w:rFonts w:hAnsi="Times New Roman" w:cs="Times New Roman"/>
        </w:rPr>
      </w:pPr>
    </w:p>
    <w:p w14:paraId="6621DDDA" w14:textId="667ED0C4" w:rsidR="00527902" w:rsidRPr="00EE3D94" w:rsidRDefault="00527902" w:rsidP="003D107D">
      <w:p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eastAsia="Times New Roman"/>
          <w:bdr w:val="none" w:sz="0" w:space="0" w:color="auto"/>
          <w:lang w:val="es-ES_tradnl" w:eastAsia="es-ES"/>
        </w:rPr>
      </w:pPr>
      <w:r w:rsidRPr="00EE3D94">
        <w:rPr>
          <w:rFonts w:eastAsia="Times New Roman"/>
          <w:bCs/>
          <w:color w:val="333333"/>
          <w:bdr w:val="none" w:sz="0" w:space="0" w:color="auto" w:frame="1"/>
          <w:shd w:val="clear" w:color="auto" w:fill="FFFFFF"/>
          <w:lang w:val="es-ES_tradnl" w:eastAsia="es-ES"/>
        </w:rPr>
        <w:t>Dworak, F. (</w:t>
      </w:r>
      <w:r w:rsidR="00B14D16">
        <w:rPr>
          <w:rFonts w:eastAsia="Times New Roman"/>
          <w:bCs/>
          <w:color w:val="333333"/>
          <w:bdr w:val="none" w:sz="0" w:space="0" w:color="auto" w:frame="1"/>
          <w:shd w:val="clear" w:color="auto" w:fill="FFFFFF"/>
          <w:lang w:val="es-ES_tradnl" w:eastAsia="es-ES"/>
        </w:rPr>
        <w:t>C</w:t>
      </w:r>
      <w:r w:rsidR="00B14D16" w:rsidRPr="00EE3D94">
        <w:rPr>
          <w:rFonts w:eastAsia="Times New Roman"/>
          <w:bCs/>
          <w:color w:val="333333"/>
          <w:bdr w:val="none" w:sz="0" w:space="0" w:color="auto" w:frame="1"/>
          <w:shd w:val="clear" w:color="auto" w:fill="FFFFFF"/>
          <w:lang w:val="es-ES_tradnl" w:eastAsia="es-ES"/>
        </w:rPr>
        <w:t>oord.)</w:t>
      </w:r>
      <w:r w:rsidR="00B14D16">
        <w:rPr>
          <w:rFonts w:eastAsia="Times New Roman"/>
          <w:bCs/>
          <w:color w:val="333333"/>
          <w:bdr w:val="none" w:sz="0" w:space="0" w:color="auto" w:frame="1"/>
          <w:shd w:val="clear" w:color="auto" w:fill="FFFFFF"/>
          <w:lang w:val="es-ES_tradnl" w:eastAsia="es-ES"/>
        </w:rPr>
        <w:t>.</w:t>
      </w:r>
      <w:r w:rsidR="00B14D16" w:rsidRPr="00EE3D94">
        <w:rPr>
          <w:rFonts w:eastAsia="Times New Roman"/>
          <w:bCs/>
          <w:color w:val="333333"/>
          <w:bdr w:val="none" w:sz="0" w:space="0" w:color="auto" w:frame="1"/>
          <w:shd w:val="clear" w:color="auto" w:fill="FFFFFF"/>
          <w:lang w:val="es-ES_tradnl" w:eastAsia="es-ES"/>
        </w:rPr>
        <w:t xml:space="preserve">  </w:t>
      </w:r>
      <w:r w:rsidRPr="00EE3D94">
        <w:rPr>
          <w:rFonts w:eastAsia="Times New Roman"/>
          <w:bCs/>
          <w:color w:val="333333"/>
          <w:bdr w:val="none" w:sz="0" w:space="0" w:color="auto" w:frame="1"/>
          <w:shd w:val="clear" w:color="auto" w:fill="FFFFFF"/>
          <w:lang w:val="es-ES_tradnl" w:eastAsia="es-ES"/>
        </w:rPr>
        <w:t>(2003</w:t>
      </w:r>
      <w:r w:rsidR="00B14D16" w:rsidRPr="00EE3D94">
        <w:rPr>
          <w:rFonts w:eastAsia="Times New Roman"/>
          <w:bCs/>
          <w:color w:val="333333"/>
          <w:bdr w:val="none" w:sz="0" w:space="0" w:color="auto" w:frame="1"/>
          <w:shd w:val="clear" w:color="auto" w:fill="FFFFFF"/>
          <w:lang w:val="es-ES_tradnl" w:eastAsia="es-ES"/>
        </w:rPr>
        <w:t>)</w:t>
      </w:r>
      <w:r w:rsidR="00B14D16">
        <w:rPr>
          <w:rFonts w:eastAsia="Times New Roman"/>
          <w:bCs/>
          <w:color w:val="333333"/>
          <w:bdr w:val="none" w:sz="0" w:space="0" w:color="auto" w:frame="1"/>
          <w:shd w:val="clear" w:color="auto" w:fill="FFFFFF"/>
          <w:lang w:val="es-ES_tradnl" w:eastAsia="es-ES"/>
        </w:rPr>
        <w:t>.</w:t>
      </w:r>
      <w:r w:rsidR="00B14D16" w:rsidRPr="00EE3D94">
        <w:rPr>
          <w:rFonts w:eastAsia="Times New Roman"/>
          <w:bCs/>
          <w:color w:val="333333"/>
          <w:bdr w:val="none" w:sz="0" w:space="0" w:color="auto" w:frame="1"/>
          <w:shd w:val="clear" w:color="auto" w:fill="FFFFFF"/>
          <w:lang w:val="es-ES_tradnl" w:eastAsia="es-ES"/>
        </w:rPr>
        <w:t xml:space="preserve"> </w:t>
      </w:r>
      <w:r w:rsidRPr="00EE3D94">
        <w:rPr>
          <w:rFonts w:eastAsia="Times New Roman"/>
          <w:bCs/>
          <w:i/>
          <w:iCs/>
          <w:color w:val="333333"/>
          <w:bdr w:val="none" w:sz="0" w:space="0" w:color="auto" w:frame="1"/>
          <w:shd w:val="clear" w:color="auto" w:fill="FFFFFF"/>
          <w:lang w:val="es-ES_tradnl" w:eastAsia="es-ES"/>
        </w:rPr>
        <w:t>El legislador a examen. El debate sobre la reelección legislativa en México</w:t>
      </w:r>
      <w:r w:rsidR="00B14D16">
        <w:rPr>
          <w:rFonts w:eastAsia="Times New Roman"/>
          <w:bCs/>
          <w:color w:val="333333"/>
          <w:bdr w:val="none" w:sz="0" w:space="0" w:color="auto" w:frame="1"/>
          <w:shd w:val="clear" w:color="auto" w:fill="FFFFFF"/>
          <w:lang w:val="es-ES_tradnl" w:eastAsia="es-ES"/>
        </w:rPr>
        <w:t>.</w:t>
      </w:r>
      <w:r w:rsidR="00B14D16" w:rsidRPr="00EE3D94">
        <w:rPr>
          <w:rFonts w:eastAsia="Times New Roman"/>
          <w:bCs/>
          <w:color w:val="333333"/>
          <w:bdr w:val="none" w:sz="0" w:space="0" w:color="auto" w:frame="1"/>
          <w:shd w:val="clear" w:color="auto" w:fill="FFFFFF"/>
          <w:lang w:val="es-ES_tradnl" w:eastAsia="es-ES"/>
        </w:rPr>
        <w:t xml:space="preserve"> </w:t>
      </w:r>
      <w:r w:rsidR="00B14D16">
        <w:rPr>
          <w:rFonts w:eastAsia="Times New Roman"/>
          <w:bCs/>
          <w:color w:val="333333"/>
          <w:bdr w:val="none" w:sz="0" w:space="0" w:color="auto" w:frame="1"/>
          <w:shd w:val="clear" w:color="auto" w:fill="FFFFFF"/>
          <w:lang w:val="es-ES_tradnl" w:eastAsia="es-ES"/>
        </w:rPr>
        <w:t xml:space="preserve">Ciudad de México, </w:t>
      </w:r>
      <w:r w:rsidRPr="00EE3D94">
        <w:rPr>
          <w:rFonts w:eastAsia="Times New Roman"/>
          <w:bCs/>
          <w:color w:val="333333"/>
          <w:bdr w:val="none" w:sz="0" w:space="0" w:color="auto" w:frame="1"/>
          <w:shd w:val="clear" w:color="auto" w:fill="FFFFFF"/>
          <w:lang w:val="es-ES_tradnl" w:eastAsia="es-ES"/>
        </w:rPr>
        <w:t>México: FCE</w:t>
      </w:r>
      <w:r w:rsidR="00B14D16">
        <w:rPr>
          <w:rFonts w:eastAsia="Times New Roman"/>
          <w:bCs/>
          <w:color w:val="333333"/>
          <w:bdr w:val="none" w:sz="0" w:space="0" w:color="auto" w:frame="1"/>
          <w:shd w:val="clear" w:color="auto" w:fill="FFFFFF"/>
          <w:lang w:val="es-ES_tradnl" w:eastAsia="es-ES"/>
        </w:rPr>
        <w:t>/</w:t>
      </w:r>
      <w:r w:rsidRPr="00EE3D94">
        <w:rPr>
          <w:rFonts w:eastAsia="Times New Roman"/>
          <w:bCs/>
          <w:color w:val="333333"/>
          <w:bdr w:val="none" w:sz="0" w:space="0" w:color="auto" w:frame="1"/>
          <w:shd w:val="clear" w:color="auto" w:fill="FFFFFF"/>
          <w:lang w:val="es-ES_tradnl" w:eastAsia="es-ES"/>
        </w:rPr>
        <w:t>Cámara de Diputados.</w:t>
      </w:r>
    </w:p>
    <w:p w14:paraId="34CFDB5B" w14:textId="77777777" w:rsidR="00527902" w:rsidRPr="00EE3D94" w:rsidRDefault="00527902" w:rsidP="003D107D">
      <w:pPr>
        <w:pStyle w:val="Cuerpo"/>
        <w:ind w:left="567" w:hanging="567"/>
        <w:jc w:val="both"/>
        <w:rPr>
          <w:rFonts w:hAnsi="Times New Roman" w:cs="Times New Roman"/>
        </w:rPr>
      </w:pPr>
    </w:p>
    <w:p w14:paraId="6338CEDE" w14:textId="789FEE3B" w:rsidR="00130951" w:rsidRPr="00EE3D94" w:rsidRDefault="00130951" w:rsidP="003D107D">
      <w:pPr>
        <w:pStyle w:val="Cuerpo"/>
        <w:ind w:left="567" w:hanging="567"/>
        <w:jc w:val="both"/>
        <w:rPr>
          <w:rFonts w:hAnsi="Times New Roman" w:cs="Times New Roman"/>
        </w:rPr>
      </w:pPr>
      <w:r w:rsidRPr="00EE3D94">
        <w:rPr>
          <w:rFonts w:hAnsi="Times New Roman" w:cs="Times New Roman"/>
        </w:rPr>
        <w:t>Elice, Navarro</w:t>
      </w:r>
      <w:r w:rsidR="00B14D16">
        <w:rPr>
          <w:rFonts w:hAnsi="Times New Roman" w:cs="Times New Roman"/>
        </w:rPr>
        <w:t>, J.</w:t>
      </w:r>
      <w:r w:rsidRPr="00EE3D94">
        <w:rPr>
          <w:rFonts w:hAnsi="Times New Roman" w:cs="Times New Roman"/>
        </w:rPr>
        <w:t xml:space="preserve"> (2010)</w:t>
      </w:r>
      <w:r w:rsidR="00B14D16">
        <w:rPr>
          <w:rFonts w:hAnsi="Times New Roman" w:cs="Times New Roman"/>
        </w:rPr>
        <w:t>.</w:t>
      </w:r>
      <w:r w:rsidRPr="00EE3D94">
        <w:rPr>
          <w:rFonts w:hAnsi="Times New Roman" w:cs="Times New Roman"/>
        </w:rPr>
        <w:t xml:space="preserve"> La Modernización Parlamentaria en América Latina</w:t>
      </w:r>
      <w:r w:rsidR="00B14D16">
        <w:rPr>
          <w:rFonts w:hAnsi="Times New Roman" w:cs="Times New Roman"/>
        </w:rPr>
        <w:t>.</w:t>
      </w:r>
      <w:r w:rsidR="00B14D16" w:rsidRPr="00EE3D94">
        <w:rPr>
          <w:rFonts w:hAnsi="Times New Roman" w:cs="Times New Roman"/>
        </w:rPr>
        <w:t xml:space="preserve"> </w:t>
      </w:r>
      <w:r w:rsidR="00B14D16">
        <w:rPr>
          <w:rFonts w:hAnsi="Times New Roman" w:cs="Times New Roman"/>
        </w:rPr>
        <w:t>Recuperado de</w:t>
      </w:r>
      <w:r w:rsidR="00EE70B3" w:rsidRPr="00EE3D94">
        <w:rPr>
          <w:rFonts w:hAnsi="Times New Roman" w:cs="Times New Roman"/>
        </w:rPr>
        <w:t xml:space="preserve"> http://www.reflexiondemocratica.org.pe/</w:t>
      </w:r>
    </w:p>
    <w:p w14:paraId="4CFD59E1" w14:textId="77777777" w:rsidR="005E4720" w:rsidRPr="00EE3D94" w:rsidRDefault="005E4720" w:rsidP="003D107D">
      <w:pPr>
        <w:pStyle w:val="Cuerpo"/>
        <w:ind w:left="567" w:hanging="567"/>
        <w:jc w:val="both"/>
        <w:rPr>
          <w:rFonts w:hAnsi="Times New Roman" w:cs="Times New Roman"/>
        </w:rPr>
      </w:pPr>
    </w:p>
    <w:p w14:paraId="16CEF4A2" w14:textId="1A977D7D" w:rsidR="00FF5C00" w:rsidRDefault="00323CEA" w:rsidP="00FF5C00">
      <w:pPr>
        <w:pStyle w:val="Cuerpo"/>
        <w:ind w:left="567" w:hanging="567"/>
        <w:jc w:val="both"/>
        <w:rPr>
          <w:rFonts w:hAnsi="Times New Roman" w:cs="Times New Roman"/>
        </w:rPr>
      </w:pPr>
      <w:r w:rsidRPr="00EE3D94">
        <w:rPr>
          <w:rFonts w:hAnsi="Times New Roman" w:cs="Times New Roman"/>
        </w:rPr>
        <w:t>Integralia</w:t>
      </w:r>
      <w:r w:rsidR="00B14D16">
        <w:rPr>
          <w:rFonts w:hAnsi="Times New Roman" w:cs="Times New Roman"/>
        </w:rPr>
        <w:t>.</w:t>
      </w:r>
      <w:r w:rsidRPr="00EE3D94">
        <w:rPr>
          <w:rFonts w:hAnsi="Times New Roman" w:cs="Times New Roman"/>
        </w:rPr>
        <w:t xml:space="preserve"> (2012)</w:t>
      </w:r>
      <w:r w:rsidR="00B14D16">
        <w:rPr>
          <w:rFonts w:hAnsi="Times New Roman" w:cs="Times New Roman"/>
        </w:rPr>
        <w:t>.</w:t>
      </w:r>
      <w:r w:rsidRPr="00EE3D94">
        <w:rPr>
          <w:rFonts w:hAnsi="Times New Roman" w:cs="Times New Roman"/>
        </w:rPr>
        <w:t xml:space="preserve"> </w:t>
      </w:r>
      <w:r w:rsidRPr="00EE3D94">
        <w:rPr>
          <w:rFonts w:hAnsi="Times New Roman" w:cs="Times New Roman"/>
          <w:i/>
        </w:rPr>
        <w:t>Reporte Legislativo</w:t>
      </w:r>
      <w:r w:rsidR="00FF5C00">
        <w:rPr>
          <w:rFonts w:hAnsi="Times New Roman" w:cs="Times New Roman"/>
        </w:rPr>
        <w:t>, número 4,</w:t>
      </w:r>
      <w:r w:rsidR="00EE70B3" w:rsidRPr="00EE3D94">
        <w:rPr>
          <w:rFonts w:hAnsi="Times New Roman" w:cs="Times New Roman"/>
        </w:rPr>
        <w:t xml:space="preserve"> </w:t>
      </w:r>
      <w:r w:rsidR="00FF5C00">
        <w:rPr>
          <w:rFonts w:hAnsi="Times New Roman" w:cs="Times New Roman"/>
        </w:rPr>
        <w:t xml:space="preserve">México, </w:t>
      </w:r>
      <w:r w:rsidRPr="00EE3D94">
        <w:rPr>
          <w:rFonts w:hAnsi="Times New Roman" w:cs="Times New Roman"/>
        </w:rPr>
        <w:t>septiembre-diciembre.</w:t>
      </w:r>
      <w:r w:rsidR="00FF5C00">
        <w:rPr>
          <w:rFonts w:hAnsi="Times New Roman" w:cs="Times New Roman"/>
        </w:rPr>
        <w:t xml:space="preserve"> Tomado de </w:t>
      </w:r>
      <w:hyperlink r:id="rId17" w:history="1">
        <w:r w:rsidR="00FF5C00" w:rsidRPr="00C12109">
          <w:rPr>
            <w:rStyle w:val="Hipervnculo"/>
            <w:rFonts w:hAnsi="Times New Roman" w:cs="Times New Roman"/>
          </w:rPr>
          <w:t>http://integralia.com.mx/content/publicaciones/008/RL4.pdf</w:t>
        </w:r>
      </w:hyperlink>
    </w:p>
    <w:p w14:paraId="0EEB814E" w14:textId="77777777" w:rsidR="00323CEA" w:rsidRPr="00EE3D94" w:rsidRDefault="00323CEA" w:rsidP="00FF5C00">
      <w:pPr>
        <w:pStyle w:val="Cuerpo"/>
        <w:jc w:val="both"/>
        <w:rPr>
          <w:rFonts w:hAnsi="Times New Roman" w:cs="Times New Roman"/>
        </w:rPr>
      </w:pPr>
    </w:p>
    <w:p w14:paraId="2E6DD858" w14:textId="10C4A07F" w:rsidR="005E4720" w:rsidRPr="00EE3D94" w:rsidRDefault="005E4720" w:rsidP="003D107D">
      <w:pPr>
        <w:pStyle w:val="Cuerpo"/>
        <w:ind w:left="567" w:hanging="567"/>
        <w:jc w:val="both"/>
        <w:rPr>
          <w:rFonts w:hAnsi="Times New Roman" w:cs="Times New Roman"/>
        </w:rPr>
      </w:pPr>
      <w:r w:rsidRPr="00EE3D94">
        <w:rPr>
          <w:rFonts w:hAnsi="Times New Roman" w:cs="Times New Roman"/>
        </w:rPr>
        <w:t xml:space="preserve">Jones, </w:t>
      </w:r>
      <w:r w:rsidR="00B14D16" w:rsidRPr="00EE3D94">
        <w:rPr>
          <w:rFonts w:hAnsi="Times New Roman" w:cs="Times New Roman"/>
        </w:rPr>
        <w:t>M</w:t>
      </w:r>
      <w:r w:rsidR="00B14D16">
        <w:rPr>
          <w:rFonts w:hAnsi="Times New Roman" w:cs="Times New Roman"/>
        </w:rPr>
        <w:t>.</w:t>
      </w:r>
      <w:r w:rsidR="00B14D16" w:rsidRPr="00EE3D94">
        <w:rPr>
          <w:rFonts w:hAnsi="Times New Roman" w:cs="Times New Roman"/>
        </w:rPr>
        <w:t xml:space="preserve"> </w:t>
      </w:r>
      <w:r w:rsidRPr="00EE3D94">
        <w:rPr>
          <w:rFonts w:hAnsi="Times New Roman" w:cs="Times New Roman"/>
        </w:rPr>
        <w:t>(2002)</w:t>
      </w:r>
      <w:r w:rsidR="00B14D16">
        <w:rPr>
          <w:rFonts w:hAnsi="Times New Roman" w:cs="Times New Roman"/>
        </w:rPr>
        <w:t>.</w:t>
      </w:r>
      <w:r w:rsidRPr="00EE3D94">
        <w:rPr>
          <w:rFonts w:hAnsi="Times New Roman" w:cs="Times New Roman"/>
        </w:rPr>
        <w:t xml:space="preserve"> Explaning the High Level of party discipline in the Argentine Congress</w:t>
      </w:r>
      <w:r w:rsidR="00B14D16">
        <w:rPr>
          <w:rFonts w:hAnsi="Times New Roman" w:cs="Times New Roman"/>
        </w:rPr>
        <w:t>.</w:t>
      </w:r>
      <w:r w:rsidR="00B14D16" w:rsidRPr="00EE3D94">
        <w:rPr>
          <w:rFonts w:hAnsi="Times New Roman" w:cs="Times New Roman"/>
        </w:rPr>
        <w:t xml:space="preserve"> </w:t>
      </w:r>
      <w:r w:rsidR="00B14D16">
        <w:rPr>
          <w:rFonts w:hAnsi="Times New Roman" w:cs="Times New Roman"/>
        </w:rPr>
        <w:t>E</w:t>
      </w:r>
      <w:r w:rsidR="00B14D16" w:rsidRPr="00EE3D94">
        <w:rPr>
          <w:rFonts w:hAnsi="Times New Roman" w:cs="Times New Roman"/>
        </w:rPr>
        <w:t xml:space="preserve">n </w:t>
      </w:r>
      <w:r w:rsidR="00E204BA" w:rsidRPr="00EE3D94">
        <w:rPr>
          <w:rFonts w:hAnsi="Times New Roman" w:cs="Times New Roman"/>
        </w:rPr>
        <w:t>Morgenstern</w:t>
      </w:r>
      <w:r w:rsidR="00B14D16">
        <w:rPr>
          <w:rFonts w:hAnsi="Times New Roman" w:cs="Times New Roman"/>
        </w:rPr>
        <w:t>, S.</w:t>
      </w:r>
      <w:r w:rsidR="00E204BA" w:rsidRPr="00EE3D94">
        <w:rPr>
          <w:rFonts w:hAnsi="Times New Roman" w:cs="Times New Roman"/>
        </w:rPr>
        <w:t xml:space="preserve"> y Nacif</w:t>
      </w:r>
      <w:r w:rsidR="00B14D16">
        <w:rPr>
          <w:rFonts w:hAnsi="Times New Roman" w:cs="Times New Roman"/>
        </w:rPr>
        <w:t>, B.</w:t>
      </w:r>
      <w:r w:rsidR="00E204BA" w:rsidRPr="00EE3D94">
        <w:rPr>
          <w:rFonts w:hAnsi="Times New Roman" w:cs="Times New Roman"/>
        </w:rPr>
        <w:t xml:space="preserve"> </w:t>
      </w:r>
      <w:r w:rsidR="00B14D16">
        <w:rPr>
          <w:rFonts w:hAnsi="Times New Roman" w:cs="Times New Roman"/>
        </w:rPr>
        <w:t xml:space="preserve"> (E</w:t>
      </w:r>
      <w:r w:rsidR="00B14D16" w:rsidRPr="00EE3D94">
        <w:rPr>
          <w:rFonts w:hAnsi="Times New Roman" w:cs="Times New Roman"/>
        </w:rPr>
        <w:t>ds</w:t>
      </w:r>
      <w:r w:rsidR="00E204BA" w:rsidRPr="00EE3D94">
        <w:rPr>
          <w:rFonts w:hAnsi="Times New Roman" w:cs="Times New Roman"/>
        </w:rPr>
        <w:t xml:space="preserve">.) </w:t>
      </w:r>
      <w:r w:rsidR="00E204BA" w:rsidRPr="00EE3D94">
        <w:rPr>
          <w:rFonts w:hAnsi="Times New Roman" w:cs="Times New Roman"/>
          <w:i/>
        </w:rPr>
        <w:t>Legislative Politics in Latin America</w:t>
      </w:r>
      <w:r w:rsidR="00E204BA" w:rsidRPr="00EE3D94">
        <w:rPr>
          <w:rFonts w:hAnsi="Times New Roman" w:cs="Times New Roman"/>
        </w:rPr>
        <w:t xml:space="preserve">, </w:t>
      </w:r>
      <w:r w:rsidR="00EE70B3" w:rsidRPr="00EE3D94">
        <w:rPr>
          <w:rFonts w:hAnsi="Times New Roman" w:cs="Times New Roman"/>
        </w:rPr>
        <w:t>Cambridge</w:t>
      </w:r>
      <w:r w:rsidR="00B14D16">
        <w:rPr>
          <w:rFonts w:hAnsi="Times New Roman" w:cs="Times New Roman"/>
        </w:rPr>
        <w:t>, Inglaterra</w:t>
      </w:r>
      <w:r w:rsidR="00EE70B3" w:rsidRPr="00EE3D94">
        <w:rPr>
          <w:rFonts w:hAnsi="Times New Roman" w:cs="Times New Roman"/>
        </w:rPr>
        <w:t>: Universidad de Cambridge</w:t>
      </w:r>
      <w:r w:rsidR="00FF5C00">
        <w:rPr>
          <w:rFonts w:hAnsi="Times New Roman" w:cs="Times New Roman"/>
        </w:rPr>
        <w:t>, pp. 147-184.</w:t>
      </w:r>
    </w:p>
    <w:p w14:paraId="7F24AFFA" w14:textId="77777777" w:rsidR="005B530E" w:rsidRPr="00EE3D94" w:rsidRDefault="005B530E" w:rsidP="003D107D">
      <w:pPr>
        <w:pStyle w:val="Cuerpo"/>
        <w:ind w:left="567" w:hanging="567"/>
        <w:jc w:val="both"/>
        <w:rPr>
          <w:rFonts w:hAnsi="Times New Roman" w:cs="Times New Roman"/>
        </w:rPr>
      </w:pPr>
    </w:p>
    <w:p w14:paraId="3C855E88" w14:textId="727D28D2" w:rsidR="00323CEA" w:rsidRPr="00EE3D94" w:rsidRDefault="00323CEA" w:rsidP="003D107D">
      <w:pPr>
        <w:pStyle w:val="Cuerpo"/>
        <w:ind w:left="567" w:hanging="567"/>
        <w:jc w:val="both"/>
        <w:rPr>
          <w:rFonts w:hAnsi="Times New Roman" w:cs="Times New Roman"/>
        </w:rPr>
      </w:pPr>
      <w:r w:rsidRPr="00EE3D94">
        <w:rPr>
          <w:rFonts w:hAnsi="Times New Roman" w:cs="Times New Roman"/>
        </w:rPr>
        <w:t xml:space="preserve">Meneses Tello, </w:t>
      </w:r>
      <w:r w:rsidR="00B14D16" w:rsidRPr="00EE3D94">
        <w:rPr>
          <w:rFonts w:hAnsi="Times New Roman" w:cs="Times New Roman"/>
        </w:rPr>
        <w:t>F</w:t>
      </w:r>
      <w:r w:rsidR="00B14D16">
        <w:rPr>
          <w:rFonts w:hAnsi="Times New Roman" w:cs="Times New Roman"/>
        </w:rPr>
        <w:t>.</w:t>
      </w:r>
      <w:r w:rsidR="00B14D16" w:rsidRPr="00EE3D94">
        <w:rPr>
          <w:rFonts w:hAnsi="Times New Roman" w:cs="Times New Roman"/>
        </w:rPr>
        <w:t xml:space="preserve"> </w:t>
      </w:r>
      <w:r w:rsidRPr="00EE3D94">
        <w:rPr>
          <w:rFonts w:hAnsi="Times New Roman" w:cs="Times New Roman"/>
        </w:rPr>
        <w:t>(2008)</w:t>
      </w:r>
      <w:r w:rsidR="00B14D16">
        <w:rPr>
          <w:rFonts w:hAnsi="Times New Roman" w:cs="Times New Roman"/>
        </w:rPr>
        <w:t>.</w:t>
      </w:r>
      <w:r w:rsidRPr="00EE3D94">
        <w:rPr>
          <w:rFonts w:hAnsi="Times New Roman" w:cs="Times New Roman"/>
        </w:rPr>
        <w:t xml:space="preserve"> La composición orgánica de las bibliotecas parlamentarias: una perspectiva global</w:t>
      </w:r>
      <w:r w:rsidR="00B14D16">
        <w:rPr>
          <w:rFonts w:hAnsi="Times New Roman" w:cs="Times New Roman"/>
        </w:rPr>
        <w:t>.</w:t>
      </w:r>
      <w:r w:rsidRPr="00EE3D94">
        <w:rPr>
          <w:rFonts w:hAnsi="Times New Roman" w:cs="Times New Roman"/>
        </w:rPr>
        <w:t xml:space="preserve"> </w:t>
      </w:r>
      <w:r w:rsidRPr="00EE3D94">
        <w:rPr>
          <w:rFonts w:hAnsi="Times New Roman" w:cs="Times New Roman"/>
          <w:i/>
        </w:rPr>
        <w:t>Investigación Bibliotecológica</w:t>
      </w:r>
      <w:r w:rsidRPr="00EE3D94">
        <w:rPr>
          <w:rFonts w:hAnsi="Times New Roman" w:cs="Times New Roman"/>
        </w:rPr>
        <w:t xml:space="preserve">, </w:t>
      </w:r>
      <w:r w:rsidRPr="006735A7">
        <w:rPr>
          <w:rFonts w:hAnsi="Times New Roman" w:cs="Times New Roman"/>
          <w:i/>
        </w:rPr>
        <w:t>22</w:t>
      </w:r>
      <w:r w:rsidR="00B14D16">
        <w:rPr>
          <w:rFonts w:hAnsi="Times New Roman" w:cs="Times New Roman"/>
        </w:rPr>
        <w:t>(46)</w:t>
      </w:r>
      <w:r w:rsidRPr="00EE3D94">
        <w:rPr>
          <w:rFonts w:hAnsi="Times New Roman" w:cs="Times New Roman"/>
        </w:rPr>
        <w:t>, 187-222.</w:t>
      </w:r>
    </w:p>
    <w:p w14:paraId="43311A2C" w14:textId="77777777" w:rsidR="00323CEA" w:rsidRPr="00EE3D94" w:rsidRDefault="00323CEA" w:rsidP="003D107D">
      <w:pPr>
        <w:pStyle w:val="Cuerpo"/>
        <w:ind w:left="567" w:hanging="567"/>
        <w:jc w:val="both"/>
        <w:rPr>
          <w:rFonts w:hAnsi="Times New Roman" w:cs="Times New Roman"/>
        </w:rPr>
      </w:pPr>
    </w:p>
    <w:p w14:paraId="41C35F1D" w14:textId="6FA917CD" w:rsidR="005B530E" w:rsidRPr="00EE3D94" w:rsidRDefault="005B530E" w:rsidP="003D107D">
      <w:pPr>
        <w:pStyle w:val="Textopredeterminado"/>
        <w:ind w:left="567" w:hanging="567"/>
        <w:jc w:val="both"/>
        <w:rPr>
          <w:szCs w:val="24"/>
          <w:lang w:val="es-ES_tradnl"/>
        </w:rPr>
      </w:pPr>
      <w:r w:rsidRPr="00EE3D94">
        <w:rPr>
          <w:szCs w:val="24"/>
          <w:lang w:val="es-ES_tradnl"/>
        </w:rPr>
        <w:t xml:space="preserve">Mezey, </w:t>
      </w:r>
      <w:r w:rsidR="00B14D16" w:rsidRPr="00EE3D94">
        <w:rPr>
          <w:szCs w:val="24"/>
          <w:lang w:val="es-ES_tradnl"/>
        </w:rPr>
        <w:t>M</w:t>
      </w:r>
      <w:r w:rsidR="00B14D16">
        <w:rPr>
          <w:szCs w:val="24"/>
          <w:lang w:val="es-ES_tradnl"/>
        </w:rPr>
        <w:t>.</w:t>
      </w:r>
      <w:r w:rsidR="00B14D16" w:rsidRPr="00EE3D94">
        <w:rPr>
          <w:szCs w:val="24"/>
          <w:lang w:val="es-ES_tradnl"/>
        </w:rPr>
        <w:t xml:space="preserve"> </w:t>
      </w:r>
      <w:r w:rsidRPr="00EE3D94">
        <w:rPr>
          <w:szCs w:val="24"/>
          <w:lang w:val="es-ES_tradnl"/>
        </w:rPr>
        <w:t>L. (1995</w:t>
      </w:r>
      <w:r w:rsidR="00B14D16" w:rsidRPr="00EE3D94">
        <w:rPr>
          <w:szCs w:val="24"/>
          <w:lang w:val="es-ES_tradnl"/>
        </w:rPr>
        <w:t>)</w:t>
      </w:r>
      <w:r w:rsidR="00B14D16">
        <w:rPr>
          <w:szCs w:val="24"/>
          <w:lang w:val="es-ES_tradnl"/>
        </w:rPr>
        <w:t>.</w:t>
      </w:r>
      <w:r w:rsidR="00B14D16" w:rsidRPr="00EE3D94">
        <w:rPr>
          <w:szCs w:val="24"/>
          <w:lang w:val="es-ES_tradnl"/>
        </w:rPr>
        <w:t xml:space="preserve"> </w:t>
      </w:r>
      <w:r w:rsidRPr="00EE3D94">
        <w:rPr>
          <w:szCs w:val="24"/>
          <w:lang w:val="es-ES_tradnl"/>
        </w:rPr>
        <w:t>La legislatura, el poder ejecutivo y las políticas públicas. La inútil búsqueda de poder para el congreso</w:t>
      </w:r>
      <w:r w:rsidR="00B14D16">
        <w:rPr>
          <w:szCs w:val="24"/>
          <w:lang w:val="es-ES_tradnl"/>
        </w:rPr>
        <w:t>.</w:t>
      </w:r>
      <w:r w:rsidR="00B14D16" w:rsidRPr="00EE3D94">
        <w:rPr>
          <w:szCs w:val="24"/>
          <w:lang w:val="es-ES_tradnl"/>
        </w:rPr>
        <w:t xml:space="preserve"> </w:t>
      </w:r>
      <w:r w:rsidR="00B14D16">
        <w:rPr>
          <w:szCs w:val="24"/>
          <w:lang w:val="es-ES_tradnl"/>
        </w:rPr>
        <w:t>E</w:t>
      </w:r>
      <w:r w:rsidR="00B14D16" w:rsidRPr="00EE3D94">
        <w:rPr>
          <w:szCs w:val="24"/>
          <w:lang w:val="es-ES_tradnl"/>
        </w:rPr>
        <w:t xml:space="preserve">n </w:t>
      </w:r>
      <w:r w:rsidRPr="00EE3D94">
        <w:rPr>
          <w:szCs w:val="24"/>
          <w:lang w:val="es-ES_tradnl"/>
        </w:rPr>
        <w:t>Thurber</w:t>
      </w:r>
      <w:r w:rsidR="00B14D16">
        <w:rPr>
          <w:szCs w:val="24"/>
          <w:lang w:val="es-ES_tradnl"/>
        </w:rPr>
        <w:t>,</w:t>
      </w:r>
      <w:r w:rsidRPr="00EE3D94">
        <w:rPr>
          <w:szCs w:val="24"/>
          <w:lang w:val="es-ES_tradnl"/>
        </w:rPr>
        <w:t xml:space="preserve"> </w:t>
      </w:r>
      <w:r w:rsidR="00B14D16" w:rsidRPr="00EE3D94">
        <w:rPr>
          <w:szCs w:val="24"/>
          <w:lang w:val="es-ES_tradnl"/>
        </w:rPr>
        <w:t>J</w:t>
      </w:r>
      <w:r w:rsidR="00B14D16">
        <w:rPr>
          <w:szCs w:val="24"/>
          <w:lang w:val="es-ES_tradnl"/>
        </w:rPr>
        <w:t>.</w:t>
      </w:r>
      <w:r w:rsidR="00B14D16" w:rsidRPr="00EE3D94">
        <w:rPr>
          <w:szCs w:val="24"/>
          <w:lang w:val="es-ES_tradnl"/>
        </w:rPr>
        <w:t xml:space="preserve"> </w:t>
      </w:r>
      <w:r w:rsidRPr="00EE3D94">
        <w:rPr>
          <w:szCs w:val="24"/>
          <w:lang w:val="es-ES_tradnl"/>
        </w:rPr>
        <w:t>(</w:t>
      </w:r>
      <w:r w:rsidR="00B14D16">
        <w:rPr>
          <w:szCs w:val="24"/>
          <w:lang w:val="es-ES_tradnl"/>
        </w:rPr>
        <w:t>C</w:t>
      </w:r>
      <w:r w:rsidR="00B14D16" w:rsidRPr="00EE3D94">
        <w:rPr>
          <w:szCs w:val="24"/>
          <w:lang w:val="es-ES_tradnl"/>
        </w:rPr>
        <w:t>omp</w:t>
      </w:r>
      <w:r w:rsidRPr="00EE3D94">
        <w:rPr>
          <w:szCs w:val="24"/>
          <w:lang w:val="es-ES_tradnl"/>
        </w:rPr>
        <w:t xml:space="preserve">.) </w:t>
      </w:r>
      <w:r w:rsidRPr="00EE3D94">
        <w:rPr>
          <w:i/>
          <w:szCs w:val="24"/>
          <w:lang w:val="es-ES_tradnl"/>
        </w:rPr>
        <w:t>La democracia dividida. Cooperación y conflicto entre el presidente y el congreso</w:t>
      </w:r>
      <w:r w:rsidR="00B14D16">
        <w:rPr>
          <w:i/>
          <w:szCs w:val="24"/>
          <w:lang w:val="es-ES_tradnl"/>
        </w:rPr>
        <w:t xml:space="preserve"> </w:t>
      </w:r>
      <w:r w:rsidR="00B14D16">
        <w:rPr>
          <w:szCs w:val="24"/>
          <w:lang w:val="es-ES_tradnl"/>
        </w:rPr>
        <w:t>(pp. 121-146). Buenos Aires,</w:t>
      </w:r>
      <w:r w:rsidR="00B14D16" w:rsidRPr="00EE3D94">
        <w:rPr>
          <w:szCs w:val="24"/>
          <w:lang w:val="es-ES_tradnl"/>
        </w:rPr>
        <w:t xml:space="preserve"> </w:t>
      </w:r>
      <w:r w:rsidR="00C10CC2" w:rsidRPr="00EE3D94">
        <w:rPr>
          <w:szCs w:val="24"/>
          <w:lang w:val="es-ES_tradnl"/>
        </w:rPr>
        <w:t xml:space="preserve">Argentina: </w:t>
      </w:r>
      <w:r w:rsidR="00800168" w:rsidRPr="00EE3D94">
        <w:rPr>
          <w:szCs w:val="24"/>
          <w:lang w:val="es-ES_tradnl"/>
        </w:rPr>
        <w:t>Heliasta.</w:t>
      </w:r>
    </w:p>
    <w:p w14:paraId="72610D1E" w14:textId="77777777" w:rsidR="005B530E" w:rsidRPr="00EE3D94" w:rsidRDefault="005B530E" w:rsidP="003D107D">
      <w:pPr>
        <w:pStyle w:val="Textopredeterminado"/>
        <w:ind w:left="567" w:hanging="567"/>
        <w:jc w:val="both"/>
        <w:rPr>
          <w:szCs w:val="24"/>
          <w:lang w:val="es-ES_tradnl"/>
        </w:rPr>
      </w:pPr>
    </w:p>
    <w:p w14:paraId="31096F82" w14:textId="785F1ABE" w:rsidR="005B530E" w:rsidRPr="00EE3D94" w:rsidRDefault="005B530E" w:rsidP="003D107D">
      <w:pPr>
        <w:pStyle w:val="Bibliografa"/>
        <w:spacing w:after="0" w:line="240" w:lineRule="auto"/>
        <w:ind w:left="567" w:hanging="567"/>
        <w:jc w:val="both"/>
        <w:rPr>
          <w:rFonts w:ascii="Times New Roman" w:hAnsi="Times New Roman" w:cs="Times New Roman"/>
          <w:noProof/>
          <w:sz w:val="24"/>
          <w:szCs w:val="24"/>
          <w:lang w:val="es-ES_tradnl"/>
        </w:rPr>
      </w:pPr>
      <w:r w:rsidRPr="00EE3D94">
        <w:rPr>
          <w:rFonts w:ascii="Times New Roman" w:hAnsi="Times New Roman" w:cs="Times New Roman"/>
          <w:noProof/>
          <w:sz w:val="24"/>
          <w:szCs w:val="24"/>
          <w:lang w:val="es-ES_tradnl"/>
        </w:rPr>
        <w:t xml:space="preserve">Negretto, G. L. (2009). Paradojas de la reforma constitucional en América Latina. </w:t>
      </w:r>
      <w:r w:rsidRPr="00EE3D94">
        <w:rPr>
          <w:rFonts w:ascii="Times New Roman" w:hAnsi="Times New Roman" w:cs="Times New Roman"/>
          <w:i/>
          <w:iCs/>
          <w:noProof/>
          <w:sz w:val="24"/>
          <w:szCs w:val="24"/>
          <w:lang w:val="es-ES_tradnl"/>
        </w:rPr>
        <w:t xml:space="preserve">Journal of Democracy en Español, </w:t>
      </w:r>
      <w:r w:rsidR="00B14D16">
        <w:rPr>
          <w:rFonts w:ascii="Times New Roman" w:hAnsi="Times New Roman" w:cs="Times New Roman"/>
          <w:i/>
          <w:iCs/>
          <w:noProof/>
          <w:sz w:val="24"/>
          <w:szCs w:val="24"/>
          <w:lang w:val="es-ES_tradnl"/>
        </w:rPr>
        <w:t>1</w:t>
      </w:r>
      <w:r w:rsidRPr="00EE3D94">
        <w:rPr>
          <w:rFonts w:ascii="Times New Roman" w:hAnsi="Times New Roman" w:cs="Times New Roman"/>
          <w:noProof/>
          <w:sz w:val="24"/>
          <w:szCs w:val="24"/>
          <w:lang w:val="es-ES_tradnl"/>
        </w:rPr>
        <w:t>, 38-54.</w:t>
      </w:r>
    </w:p>
    <w:p w14:paraId="0FA3971E" w14:textId="77777777" w:rsidR="00E204BA" w:rsidRPr="00EE3D94" w:rsidRDefault="00E204BA" w:rsidP="003D107D">
      <w:pPr>
        <w:ind w:left="567" w:hanging="567"/>
        <w:jc w:val="both"/>
        <w:rPr>
          <w:lang w:val="es-ES_tradnl"/>
        </w:rPr>
      </w:pPr>
    </w:p>
    <w:p w14:paraId="11E90BF4" w14:textId="3D70686A" w:rsidR="00E204BA" w:rsidRPr="00EE3D94" w:rsidRDefault="00E204BA" w:rsidP="003D107D">
      <w:pPr>
        <w:ind w:left="567" w:hanging="567"/>
        <w:jc w:val="both"/>
        <w:rPr>
          <w:lang w:val="es-ES_tradnl"/>
        </w:rPr>
      </w:pPr>
      <w:r w:rsidRPr="00EE3D94">
        <w:rPr>
          <w:lang w:val="es-ES_tradnl"/>
        </w:rPr>
        <w:t xml:space="preserve">Nino, </w:t>
      </w:r>
      <w:r w:rsidR="00B14D16" w:rsidRPr="00EE3D94">
        <w:rPr>
          <w:lang w:val="es-ES_tradnl"/>
        </w:rPr>
        <w:t>C</w:t>
      </w:r>
      <w:r w:rsidR="00B14D16">
        <w:rPr>
          <w:lang w:val="es-ES_tradnl"/>
        </w:rPr>
        <w:t>.</w:t>
      </w:r>
      <w:r w:rsidR="00B14D16" w:rsidRPr="00EE3D94">
        <w:rPr>
          <w:lang w:val="es-ES_tradnl"/>
        </w:rPr>
        <w:t xml:space="preserve"> S</w:t>
      </w:r>
      <w:r w:rsidR="00B14D16">
        <w:rPr>
          <w:lang w:val="es-ES_tradnl"/>
        </w:rPr>
        <w:t>.</w:t>
      </w:r>
      <w:r w:rsidR="00B14D16" w:rsidRPr="00EE3D94">
        <w:rPr>
          <w:lang w:val="es-ES_tradnl"/>
        </w:rPr>
        <w:t xml:space="preserve"> </w:t>
      </w:r>
      <w:r w:rsidRPr="00EE3D94">
        <w:rPr>
          <w:lang w:val="es-ES_tradnl"/>
        </w:rPr>
        <w:t>(2003)</w:t>
      </w:r>
      <w:r w:rsidR="00B14D16">
        <w:rPr>
          <w:lang w:val="es-ES_tradnl"/>
        </w:rPr>
        <w:t>.</w:t>
      </w:r>
      <w:r w:rsidRPr="00EE3D94">
        <w:rPr>
          <w:lang w:val="es-ES_tradnl"/>
        </w:rPr>
        <w:t xml:space="preserve"> </w:t>
      </w:r>
      <w:r w:rsidRPr="00EE3D94">
        <w:rPr>
          <w:i/>
          <w:lang w:val="es-ES_tradnl"/>
        </w:rPr>
        <w:t>La Constitución de la Democracia Deliberativa</w:t>
      </w:r>
      <w:r w:rsidR="00B14D16">
        <w:rPr>
          <w:lang w:val="es-ES_tradnl"/>
        </w:rPr>
        <w:t>.</w:t>
      </w:r>
      <w:r w:rsidR="00B14D16" w:rsidRPr="00EE3D94">
        <w:rPr>
          <w:lang w:val="es-ES_tradnl"/>
        </w:rPr>
        <w:t xml:space="preserve">  </w:t>
      </w:r>
      <w:r w:rsidR="00C10CC2" w:rsidRPr="00EE3D94">
        <w:rPr>
          <w:lang w:val="es-ES_tradnl"/>
        </w:rPr>
        <w:t>Barcelona</w:t>
      </w:r>
      <w:r w:rsidR="00B14D16">
        <w:rPr>
          <w:lang w:val="es-ES_tradnl"/>
        </w:rPr>
        <w:t>, España</w:t>
      </w:r>
      <w:r w:rsidR="00C10CC2" w:rsidRPr="00EE3D94">
        <w:rPr>
          <w:lang w:val="es-ES_tradnl"/>
        </w:rPr>
        <w:t xml:space="preserve">: </w:t>
      </w:r>
      <w:r w:rsidR="009A5B24" w:rsidRPr="00EE3D94">
        <w:rPr>
          <w:lang w:val="es-ES_tradnl"/>
        </w:rPr>
        <w:t>Gedisa</w:t>
      </w:r>
      <w:r w:rsidRPr="00EE3D94">
        <w:rPr>
          <w:lang w:val="es-ES_tradnl"/>
        </w:rPr>
        <w:t>.</w:t>
      </w:r>
    </w:p>
    <w:p w14:paraId="61CEE33E" w14:textId="77777777" w:rsidR="000A2139" w:rsidRPr="00EE3D94" w:rsidRDefault="000A2139" w:rsidP="003D107D">
      <w:pPr>
        <w:ind w:left="567" w:hanging="567"/>
        <w:jc w:val="both"/>
        <w:rPr>
          <w:lang w:val="es-ES_tradnl"/>
        </w:rPr>
      </w:pPr>
    </w:p>
    <w:p w14:paraId="5D4D25D5" w14:textId="5A8D2832" w:rsidR="000A2139" w:rsidRPr="00EE3D94" w:rsidRDefault="000A2139" w:rsidP="003D107D">
      <w:pPr>
        <w:ind w:left="567" w:hanging="567"/>
        <w:jc w:val="both"/>
        <w:rPr>
          <w:lang w:val="es-ES_tradnl"/>
        </w:rPr>
      </w:pPr>
      <w:r w:rsidRPr="00EE3D94">
        <w:rPr>
          <w:lang w:val="es-ES_tradnl"/>
        </w:rPr>
        <w:t>O</w:t>
      </w:r>
      <w:r w:rsidR="00B14D16">
        <w:t>’</w:t>
      </w:r>
      <w:r w:rsidRPr="00EE3D94">
        <w:rPr>
          <w:lang w:val="es-ES_tradnl"/>
        </w:rPr>
        <w:t xml:space="preserve">Donnell, </w:t>
      </w:r>
      <w:r w:rsidR="00B14D16" w:rsidRPr="00EE3D94">
        <w:rPr>
          <w:lang w:val="es-ES_tradnl"/>
        </w:rPr>
        <w:t>G</w:t>
      </w:r>
      <w:r w:rsidR="00B14D16">
        <w:rPr>
          <w:lang w:val="es-ES_tradnl"/>
        </w:rPr>
        <w:t>.</w:t>
      </w:r>
      <w:r w:rsidR="00B14D16" w:rsidRPr="00EE3D94">
        <w:rPr>
          <w:lang w:val="es-ES_tradnl"/>
        </w:rPr>
        <w:t xml:space="preserve"> </w:t>
      </w:r>
      <w:r w:rsidRPr="00EE3D94">
        <w:rPr>
          <w:lang w:val="es-ES_tradnl"/>
        </w:rPr>
        <w:t>(1998)</w:t>
      </w:r>
      <w:r w:rsidR="00B14D16">
        <w:rPr>
          <w:lang w:val="es-ES_tradnl"/>
        </w:rPr>
        <w:t>.</w:t>
      </w:r>
      <w:r w:rsidRPr="00EE3D94">
        <w:rPr>
          <w:lang w:val="es-ES_tradnl"/>
        </w:rPr>
        <w:t xml:space="preserve"> Accountability horizontal</w:t>
      </w:r>
      <w:r w:rsidR="00B14D16">
        <w:rPr>
          <w:lang w:val="es-ES_tradnl"/>
        </w:rPr>
        <w:t>.</w:t>
      </w:r>
      <w:r w:rsidR="00B14D16" w:rsidRPr="00EE3D94">
        <w:rPr>
          <w:lang w:val="es-ES_tradnl"/>
        </w:rPr>
        <w:t xml:space="preserve"> </w:t>
      </w:r>
      <w:r w:rsidR="00EE6B3B">
        <w:rPr>
          <w:i/>
          <w:lang w:val="es-ES_tradnl"/>
        </w:rPr>
        <w:t>Revista Á</w:t>
      </w:r>
      <w:r w:rsidRPr="00EE3D94">
        <w:rPr>
          <w:i/>
          <w:lang w:val="es-ES_tradnl"/>
        </w:rPr>
        <w:t>gora</w:t>
      </w:r>
      <w:r w:rsidR="00C10CC2" w:rsidRPr="00EE3D94">
        <w:rPr>
          <w:lang w:val="es-ES_tradnl"/>
        </w:rPr>
        <w:t>,</w:t>
      </w:r>
      <w:r w:rsidR="00EE6B3B">
        <w:rPr>
          <w:lang w:val="es-ES_tradnl"/>
        </w:rPr>
        <w:t xml:space="preserve"> vol. IV, núm.</w:t>
      </w:r>
      <w:r w:rsidR="00C10CC2" w:rsidRPr="00EE3D94">
        <w:rPr>
          <w:lang w:val="es-ES_tradnl"/>
        </w:rPr>
        <w:t xml:space="preserve"> 8</w:t>
      </w:r>
      <w:r w:rsidR="00EE6B3B">
        <w:rPr>
          <w:lang w:val="es-ES_tradnl"/>
        </w:rPr>
        <w:t>, pp. 5-34</w:t>
      </w:r>
      <w:r w:rsidRPr="00EE3D94">
        <w:rPr>
          <w:lang w:val="es-ES_tradnl"/>
        </w:rPr>
        <w:t>.</w:t>
      </w:r>
    </w:p>
    <w:p w14:paraId="3483F7EA" w14:textId="77777777" w:rsidR="00A5721C" w:rsidRPr="00EE3D94" w:rsidRDefault="00A5721C" w:rsidP="003D107D">
      <w:pPr>
        <w:pStyle w:val="Cuerpo"/>
        <w:ind w:left="567" w:hanging="567"/>
        <w:jc w:val="both"/>
        <w:rPr>
          <w:rFonts w:hAnsi="Times New Roman" w:cs="Times New Roman"/>
        </w:rPr>
      </w:pPr>
    </w:p>
    <w:p w14:paraId="794E961B" w14:textId="4767186B" w:rsidR="000A2139" w:rsidRPr="00EE3D94" w:rsidRDefault="000A2139" w:rsidP="003D107D">
      <w:pPr>
        <w:pStyle w:val="Sinespaciado"/>
        <w:ind w:left="567" w:hanging="567"/>
        <w:jc w:val="both"/>
        <w:rPr>
          <w:rFonts w:ascii="Times New Roman" w:hAnsi="Times New Roman" w:cs="Times New Roman"/>
          <w:sz w:val="24"/>
          <w:szCs w:val="24"/>
        </w:rPr>
      </w:pPr>
      <w:r w:rsidRPr="00EE3D94">
        <w:rPr>
          <w:rFonts w:ascii="Times New Roman" w:hAnsi="Times New Roman" w:cs="Times New Roman"/>
          <w:sz w:val="24"/>
          <w:szCs w:val="24"/>
        </w:rPr>
        <w:t>O</w:t>
      </w:r>
      <w:r w:rsidR="00B14D16">
        <w:rPr>
          <w:rFonts w:hAnsi="Times New Roman" w:cs="Times New Roman"/>
        </w:rPr>
        <w:t>’</w:t>
      </w:r>
      <w:r w:rsidRPr="00EE3D94">
        <w:rPr>
          <w:rFonts w:ascii="Times New Roman" w:hAnsi="Times New Roman" w:cs="Times New Roman"/>
          <w:sz w:val="24"/>
          <w:szCs w:val="24"/>
        </w:rPr>
        <w:t xml:space="preserve">Donnell, </w:t>
      </w:r>
      <w:r w:rsidR="00B14D16" w:rsidRPr="00EE3D94">
        <w:rPr>
          <w:rFonts w:ascii="Times New Roman" w:hAnsi="Times New Roman" w:cs="Times New Roman"/>
          <w:sz w:val="24"/>
          <w:szCs w:val="24"/>
        </w:rPr>
        <w:t>G</w:t>
      </w:r>
      <w:r w:rsidR="00B14D16">
        <w:rPr>
          <w:rFonts w:ascii="Times New Roman" w:hAnsi="Times New Roman" w:cs="Times New Roman"/>
          <w:sz w:val="24"/>
          <w:szCs w:val="24"/>
        </w:rPr>
        <w:t>.</w:t>
      </w:r>
      <w:r w:rsidR="00B14D16" w:rsidRPr="00EE3D94">
        <w:rPr>
          <w:rFonts w:ascii="Times New Roman" w:hAnsi="Times New Roman" w:cs="Times New Roman"/>
          <w:sz w:val="24"/>
          <w:szCs w:val="24"/>
        </w:rPr>
        <w:t xml:space="preserve"> </w:t>
      </w:r>
      <w:r w:rsidRPr="00EE3D94">
        <w:rPr>
          <w:rFonts w:ascii="Times New Roman" w:hAnsi="Times New Roman" w:cs="Times New Roman"/>
          <w:sz w:val="24"/>
          <w:szCs w:val="24"/>
        </w:rPr>
        <w:t>(2007)</w:t>
      </w:r>
      <w:r w:rsidR="00B14D16">
        <w:rPr>
          <w:rFonts w:ascii="Times New Roman" w:hAnsi="Times New Roman" w:cs="Times New Roman"/>
          <w:sz w:val="24"/>
          <w:szCs w:val="24"/>
        </w:rPr>
        <w:t>.</w:t>
      </w:r>
      <w:r w:rsidRPr="00EE3D94">
        <w:rPr>
          <w:rFonts w:ascii="Times New Roman" w:hAnsi="Times New Roman" w:cs="Times New Roman"/>
          <w:sz w:val="24"/>
          <w:szCs w:val="24"/>
        </w:rPr>
        <w:t xml:space="preserve"> </w:t>
      </w:r>
      <w:r w:rsidR="001525C6">
        <w:rPr>
          <w:rFonts w:ascii="Times New Roman" w:hAnsi="Times New Roman" w:cs="Times New Roman"/>
          <w:sz w:val="24"/>
          <w:szCs w:val="24"/>
        </w:rPr>
        <w:t>“</w:t>
      </w:r>
      <w:r w:rsidRPr="00EE3D94">
        <w:rPr>
          <w:rFonts w:ascii="Times New Roman" w:hAnsi="Times New Roman" w:cs="Times New Roman"/>
          <w:sz w:val="24"/>
          <w:szCs w:val="24"/>
        </w:rPr>
        <w:t>Hacia un Estado de y para la democracia</w:t>
      </w:r>
      <w:r w:rsidR="001525C6">
        <w:rPr>
          <w:rFonts w:ascii="Times New Roman" w:hAnsi="Times New Roman" w:cs="Times New Roman"/>
          <w:sz w:val="24"/>
          <w:szCs w:val="24"/>
        </w:rPr>
        <w:t>”,</w:t>
      </w:r>
      <w:r w:rsidR="00B14D16" w:rsidRPr="00EE3D94">
        <w:rPr>
          <w:rFonts w:ascii="Times New Roman" w:hAnsi="Times New Roman" w:cs="Times New Roman"/>
          <w:sz w:val="24"/>
          <w:szCs w:val="24"/>
        </w:rPr>
        <w:t xml:space="preserve"> </w:t>
      </w:r>
      <w:r w:rsidR="001525C6">
        <w:rPr>
          <w:rFonts w:ascii="Times New Roman" w:hAnsi="Times New Roman" w:cs="Times New Roman"/>
          <w:sz w:val="24"/>
          <w:szCs w:val="24"/>
        </w:rPr>
        <w:t>e</w:t>
      </w:r>
      <w:r w:rsidR="00B14D16" w:rsidRPr="00EE3D94">
        <w:rPr>
          <w:rFonts w:ascii="Times New Roman" w:hAnsi="Times New Roman" w:cs="Times New Roman"/>
          <w:sz w:val="24"/>
          <w:szCs w:val="24"/>
        </w:rPr>
        <w:t xml:space="preserve">n </w:t>
      </w:r>
      <w:r w:rsidR="00B14D16">
        <w:rPr>
          <w:rFonts w:ascii="Times New Roman" w:hAnsi="Times New Roman" w:cs="Times New Roman"/>
          <w:sz w:val="24"/>
          <w:szCs w:val="24"/>
        </w:rPr>
        <w:t>Programa de las Naciones Unidas para el Desarrollo [</w:t>
      </w:r>
      <w:r w:rsidRPr="00EE3D94">
        <w:rPr>
          <w:rFonts w:ascii="Times New Roman" w:hAnsi="Times New Roman" w:cs="Times New Roman"/>
          <w:sz w:val="24"/>
          <w:szCs w:val="24"/>
        </w:rPr>
        <w:t>PNUD</w:t>
      </w:r>
      <w:r w:rsidR="00B14D16">
        <w:rPr>
          <w:rFonts w:ascii="Times New Roman" w:hAnsi="Times New Roman" w:cs="Times New Roman"/>
          <w:sz w:val="24"/>
          <w:szCs w:val="24"/>
        </w:rPr>
        <w:t>].</w:t>
      </w:r>
      <w:r w:rsidRPr="00EE3D94">
        <w:rPr>
          <w:rFonts w:ascii="Times New Roman" w:hAnsi="Times New Roman" w:cs="Times New Roman"/>
          <w:sz w:val="24"/>
          <w:szCs w:val="24"/>
        </w:rPr>
        <w:t xml:space="preserve"> </w:t>
      </w:r>
      <w:r w:rsidRPr="00EE3D94">
        <w:rPr>
          <w:rFonts w:ascii="Times New Roman" w:hAnsi="Times New Roman" w:cs="Times New Roman"/>
          <w:i/>
          <w:sz w:val="24"/>
          <w:szCs w:val="24"/>
        </w:rPr>
        <w:t>Democracia, Estado, Ciudadanía</w:t>
      </w:r>
      <w:r w:rsidR="00B14D16">
        <w:rPr>
          <w:rFonts w:ascii="Times New Roman" w:hAnsi="Times New Roman" w:cs="Times New Roman"/>
          <w:sz w:val="24"/>
          <w:szCs w:val="24"/>
        </w:rPr>
        <w:t>.</w:t>
      </w:r>
      <w:r w:rsidR="00B14D16" w:rsidRPr="00EE3D94">
        <w:rPr>
          <w:rFonts w:ascii="Times New Roman" w:hAnsi="Times New Roman" w:cs="Times New Roman"/>
          <w:sz w:val="24"/>
          <w:szCs w:val="24"/>
        </w:rPr>
        <w:t xml:space="preserve"> </w:t>
      </w:r>
      <w:r w:rsidR="00C10CC2" w:rsidRPr="00EE3D94">
        <w:rPr>
          <w:rFonts w:ascii="Times New Roman" w:hAnsi="Times New Roman" w:cs="Times New Roman"/>
          <w:sz w:val="24"/>
          <w:szCs w:val="24"/>
        </w:rPr>
        <w:t>Lima</w:t>
      </w:r>
      <w:r w:rsidR="00B14D16">
        <w:rPr>
          <w:rFonts w:ascii="Times New Roman" w:hAnsi="Times New Roman" w:cs="Times New Roman"/>
          <w:sz w:val="24"/>
          <w:szCs w:val="24"/>
        </w:rPr>
        <w:t>, Perú</w:t>
      </w:r>
      <w:r w:rsidR="00C10CC2" w:rsidRPr="00EE3D94">
        <w:rPr>
          <w:rFonts w:ascii="Times New Roman" w:hAnsi="Times New Roman" w:cs="Times New Roman"/>
          <w:sz w:val="24"/>
          <w:szCs w:val="24"/>
        </w:rPr>
        <w:t>:</w:t>
      </w:r>
      <w:r w:rsidR="001525C6">
        <w:rPr>
          <w:rFonts w:ascii="Times New Roman" w:hAnsi="Times New Roman" w:cs="Times New Roman"/>
          <w:sz w:val="24"/>
          <w:szCs w:val="24"/>
        </w:rPr>
        <w:t xml:space="preserve"> FIMART/ Mirza editores, pp. </w:t>
      </w:r>
      <w:r w:rsidR="001525C6" w:rsidRPr="006735A7">
        <w:rPr>
          <w:rFonts w:ascii="Times New Roman" w:hAnsi="Times New Roman" w:cs="Times New Roman"/>
          <w:sz w:val="24"/>
          <w:szCs w:val="24"/>
        </w:rPr>
        <w:t>25-64</w:t>
      </w:r>
      <w:r w:rsidR="001525C6">
        <w:rPr>
          <w:rFonts w:ascii="Times New Roman" w:hAnsi="Times New Roman" w:cs="Times New Roman"/>
          <w:sz w:val="24"/>
          <w:szCs w:val="24"/>
        </w:rPr>
        <w:t>.</w:t>
      </w:r>
    </w:p>
    <w:p w14:paraId="480EE617" w14:textId="4EBA251A" w:rsidR="005B530E" w:rsidRPr="00EE3D94" w:rsidRDefault="005B530E" w:rsidP="003D107D">
      <w:pPr>
        <w:pStyle w:val="Textoindependiente"/>
        <w:spacing w:before="100" w:beforeAutospacing="1" w:after="100" w:afterAutospacing="1"/>
        <w:ind w:left="567" w:hanging="567"/>
        <w:jc w:val="both"/>
        <w:rPr>
          <w:lang w:val="es-ES_tradnl"/>
        </w:rPr>
      </w:pPr>
      <w:r w:rsidRPr="00EE3D94">
        <w:rPr>
          <w:lang w:val="es-ES_tradnl"/>
        </w:rPr>
        <w:lastRenderedPageBreak/>
        <w:t xml:space="preserve">Payne, </w:t>
      </w:r>
      <w:r w:rsidR="00B14D16" w:rsidRPr="00EE3D94">
        <w:rPr>
          <w:lang w:val="es-ES_tradnl"/>
        </w:rPr>
        <w:t>M</w:t>
      </w:r>
      <w:r w:rsidR="001F55D7">
        <w:rPr>
          <w:lang w:val="es-ES_tradnl"/>
        </w:rPr>
        <w:t>ark</w:t>
      </w:r>
      <w:r w:rsidRPr="00EE3D94">
        <w:rPr>
          <w:lang w:val="es-ES_tradnl"/>
        </w:rPr>
        <w:t xml:space="preserve">, Zovatto, </w:t>
      </w:r>
      <w:r w:rsidR="00B14D16" w:rsidRPr="00EE3D94">
        <w:rPr>
          <w:lang w:val="es-ES_tradnl"/>
        </w:rPr>
        <w:t>D</w:t>
      </w:r>
      <w:r w:rsidR="001F55D7">
        <w:rPr>
          <w:lang w:val="es-ES_tradnl"/>
        </w:rPr>
        <w:t>aniel</w:t>
      </w:r>
      <w:r w:rsidRPr="00EE3D94">
        <w:rPr>
          <w:lang w:val="es-ES_tradnl"/>
        </w:rPr>
        <w:t>, Carrillo Flórez</w:t>
      </w:r>
      <w:r w:rsidR="001F55D7">
        <w:rPr>
          <w:lang w:val="es-ES_tradnl"/>
        </w:rPr>
        <w:t>, Fernando</w:t>
      </w:r>
      <w:r w:rsidRPr="00EE3D94">
        <w:rPr>
          <w:lang w:val="es-ES_tradnl"/>
        </w:rPr>
        <w:t xml:space="preserve"> y Allmand Zavala, </w:t>
      </w:r>
      <w:r w:rsidR="0067016D">
        <w:rPr>
          <w:lang w:val="es-ES_tradnl"/>
        </w:rPr>
        <w:t>A</w:t>
      </w:r>
      <w:r w:rsidR="001F55D7">
        <w:rPr>
          <w:lang w:val="es-ES_tradnl"/>
        </w:rPr>
        <w:t xml:space="preserve">ndrés, </w:t>
      </w:r>
      <w:r w:rsidR="0067016D">
        <w:rPr>
          <w:lang w:val="es-ES_tradnl"/>
        </w:rPr>
        <w:t xml:space="preserve"> </w:t>
      </w:r>
      <w:r w:rsidRPr="00EE3D94">
        <w:rPr>
          <w:lang w:val="es-ES_tradnl"/>
        </w:rPr>
        <w:t>(2003)</w:t>
      </w:r>
      <w:r w:rsidR="0067016D">
        <w:rPr>
          <w:lang w:val="es-ES_tradnl"/>
        </w:rPr>
        <w:t>.</w:t>
      </w:r>
      <w:r w:rsidRPr="00EE3D94">
        <w:rPr>
          <w:lang w:val="es-ES_tradnl"/>
        </w:rPr>
        <w:t xml:space="preserve"> </w:t>
      </w:r>
      <w:r w:rsidRPr="00EE3D94">
        <w:rPr>
          <w:i/>
          <w:lang w:val="es-ES_tradnl"/>
        </w:rPr>
        <w:t>La política importa. Democracia y desarrollo en América Latina</w:t>
      </w:r>
      <w:r w:rsidRPr="00EE3D94">
        <w:rPr>
          <w:lang w:val="es-ES_tradnl"/>
        </w:rPr>
        <w:t>, Washington, D</w:t>
      </w:r>
      <w:r w:rsidR="00987FF3" w:rsidRPr="00EE3D94">
        <w:rPr>
          <w:lang w:val="es-ES_tradnl"/>
        </w:rPr>
        <w:t>.</w:t>
      </w:r>
      <w:r w:rsidR="0067016D">
        <w:rPr>
          <w:lang w:val="es-ES_tradnl"/>
        </w:rPr>
        <w:t xml:space="preserve"> </w:t>
      </w:r>
      <w:r w:rsidR="00987FF3" w:rsidRPr="00EE3D94">
        <w:rPr>
          <w:lang w:val="es-ES_tradnl"/>
        </w:rPr>
        <w:t>C</w:t>
      </w:r>
      <w:r w:rsidR="0067016D">
        <w:rPr>
          <w:lang w:val="es-ES_tradnl"/>
        </w:rPr>
        <w:t>. Estados Unidos</w:t>
      </w:r>
      <w:r w:rsidR="00987FF3" w:rsidRPr="00EE3D94">
        <w:rPr>
          <w:lang w:val="es-ES_tradnl"/>
        </w:rPr>
        <w:t>:</w:t>
      </w:r>
      <w:r w:rsidRPr="00EE3D94">
        <w:rPr>
          <w:lang w:val="es-ES_tradnl"/>
        </w:rPr>
        <w:t xml:space="preserve"> </w:t>
      </w:r>
      <w:r w:rsidR="001F55D7">
        <w:rPr>
          <w:lang w:val="es-ES_tradnl"/>
        </w:rPr>
        <w:t xml:space="preserve">1ª. Edición, </w:t>
      </w:r>
      <w:r w:rsidRPr="00EE3D94">
        <w:rPr>
          <w:lang w:val="es-ES_tradnl"/>
        </w:rPr>
        <w:t>Banco Interamericano de Desarrollo/Instituto Internacional para la Democracia y Asistencia Electoral.</w:t>
      </w:r>
    </w:p>
    <w:p w14:paraId="0C2D21AA" w14:textId="239CF232" w:rsidR="00522688" w:rsidRPr="00EE3D94" w:rsidRDefault="00522688" w:rsidP="003D107D">
      <w:pPr>
        <w:pStyle w:val="Textoindependiente"/>
        <w:spacing w:before="100" w:beforeAutospacing="1" w:after="100" w:afterAutospacing="1"/>
        <w:ind w:left="567" w:hanging="567"/>
        <w:jc w:val="both"/>
        <w:rPr>
          <w:lang w:val="es-ES_tradnl"/>
        </w:rPr>
      </w:pPr>
      <w:r w:rsidRPr="00EE3D94">
        <w:rPr>
          <w:lang w:val="es-ES_tradnl"/>
        </w:rPr>
        <w:t>Peruzzotti</w:t>
      </w:r>
      <w:r w:rsidR="00AD2DCA">
        <w:rPr>
          <w:lang w:val="es-ES_tradnl"/>
        </w:rPr>
        <w:t>, E.</w:t>
      </w:r>
      <w:r w:rsidRPr="00EE3D94">
        <w:rPr>
          <w:lang w:val="es-ES_tradnl"/>
        </w:rPr>
        <w:t xml:space="preserve"> y Smulovitz</w:t>
      </w:r>
      <w:r w:rsidR="00AD2DCA">
        <w:rPr>
          <w:lang w:val="es-ES_tradnl"/>
        </w:rPr>
        <w:t>, C.</w:t>
      </w:r>
      <w:r w:rsidRPr="00EE3D94">
        <w:rPr>
          <w:lang w:val="es-ES_tradnl"/>
        </w:rPr>
        <w:t xml:space="preserve"> (</w:t>
      </w:r>
      <w:r w:rsidR="0067016D">
        <w:rPr>
          <w:lang w:val="es-ES_tradnl"/>
        </w:rPr>
        <w:t>E</w:t>
      </w:r>
      <w:r w:rsidR="0067016D" w:rsidRPr="00EE3D94">
        <w:rPr>
          <w:lang w:val="es-ES_tradnl"/>
        </w:rPr>
        <w:t>ds</w:t>
      </w:r>
      <w:r w:rsidRPr="00EE3D94">
        <w:rPr>
          <w:lang w:val="es-ES_tradnl"/>
        </w:rPr>
        <w:t>.)</w:t>
      </w:r>
      <w:r w:rsidR="00AD2DCA">
        <w:rPr>
          <w:lang w:val="es-ES_tradnl"/>
        </w:rPr>
        <w:t>.</w:t>
      </w:r>
      <w:r w:rsidRPr="00EE3D94">
        <w:rPr>
          <w:lang w:val="es-ES_tradnl"/>
        </w:rPr>
        <w:t xml:space="preserve"> (2002)</w:t>
      </w:r>
      <w:r w:rsidR="0067016D">
        <w:rPr>
          <w:lang w:val="es-ES_tradnl"/>
        </w:rPr>
        <w:t>.</w:t>
      </w:r>
      <w:r w:rsidRPr="00EE3D94">
        <w:rPr>
          <w:lang w:val="es-ES_tradnl"/>
        </w:rPr>
        <w:t xml:space="preserve"> </w:t>
      </w:r>
      <w:r w:rsidRPr="00EE3D94">
        <w:rPr>
          <w:i/>
          <w:lang w:val="es-ES_tradnl"/>
        </w:rPr>
        <w:t>Controlando la Política. Ciudadanos y Medios en las Democracias Latinoamericanas</w:t>
      </w:r>
      <w:r w:rsidR="0067016D">
        <w:rPr>
          <w:lang w:val="es-ES_tradnl"/>
        </w:rPr>
        <w:t>.</w:t>
      </w:r>
      <w:r w:rsidR="0067016D" w:rsidRPr="00EE3D94">
        <w:rPr>
          <w:lang w:val="es-ES_tradnl"/>
        </w:rPr>
        <w:t xml:space="preserve"> </w:t>
      </w:r>
      <w:r w:rsidRPr="00EE3D94">
        <w:rPr>
          <w:lang w:val="es-ES_tradnl"/>
        </w:rPr>
        <w:t>Buenos Aires</w:t>
      </w:r>
      <w:r w:rsidR="0067016D">
        <w:rPr>
          <w:lang w:val="es-ES_tradnl"/>
        </w:rPr>
        <w:t>, Argentina</w:t>
      </w:r>
      <w:r w:rsidRPr="00EE3D94">
        <w:rPr>
          <w:lang w:val="es-ES_tradnl"/>
        </w:rPr>
        <w:t>: Temas.</w:t>
      </w:r>
    </w:p>
    <w:p w14:paraId="77E2FA85" w14:textId="48255C13" w:rsidR="00130951" w:rsidRPr="00EE3D94" w:rsidRDefault="0067016D" w:rsidP="003D107D">
      <w:pPr>
        <w:pStyle w:val="Textoindependiente"/>
        <w:spacing w:before="100" w:beforeAutospacing="1" w:after="100" w:afterAutospacing="1"/>
        <w:ind w:left="567" w:hanging="567"/>
        <w:jc w:val="both"/>
        <w:rPr>
          <w:lang w:val="es-ES_tradnl"/>
        </w:rPr>
      </w:pPr>
      <w:r>
        <w:t>Programa de las Naciones Unidas para el Desarrollo [</w:t>
      </w:r>
      <w:r w:rsidR="00130951" w:rsidRPr="00EE3D94">
        <w:rPr>
          <w:lang w:val="es-ES_tradnl"/>
        </w:rPr>
        <w:t>PNUD</w:t>
      </w:r>
      <w:r>
        <w:rPr>
          <w:lang w:val="es-ES_tradnl"/>
        </w:rPr>
        <w:t>]</w:t>
      </w:r>
      <w:r w:rsidR="00130951" w:rsidRPr="00EE3D94">
        <w:rPr>
          <w:lang w:val="es-ES_tradnl"/>
        </w:rPr>
        <w:t>/Unión Interparlamentaria</w:t>
      </w:r>
      <w:r>
        <w:rPr>
          <w:lang w:val="es-ES_tradnl"/>
        </w:rPr>
        <w:t>.</w:t>
      </w:r>
      <w:r w:rsidR="00130951" w:rsidRPr="00EE3D94">
        <w:rPr>
          <w:lang w:val="es-ES_tradnl"/>
        </w:rPr>
        <w:t xml:space="preserve"> (2012)</w:t>
      </w:r>
      <w:r>
        <w:rPr>
          <w:lang w:val="es-ES_tradnl"/>
        </w:rPr>
        <w:t>.</w:t>
      </w:r>
      <w:r w:rsidR="00130951" w:rsidRPr="00EE3D94">
        <w:rPr>
          <w:lang w:val="es-ES_tradnl"/>
        </w:rPr>
        <w:t xml:space="preserve"> </w:t>
      </w:r>
      <w:r w:rsidR="00130951" w:rsidRPr="00EE3D94">
        <w:rPr>
          <w:i/>
          <w:lang w:val="es-ES_tradnl"/>
        </w:rPr>
        <w:t>Informe Parlamentario Mundial. La naturaleza Cambiante de la Representación Parlamentaria</w:t>
      </w:r>
      <w:r>
        <w:rPr>
          <w:lang w:val="es-ES_tradnl"/>
        </w:rPr>
        <w:t>.</w:t>
      </w:r>
      <w:r w:rsidRPr="00EE3D94">
        <w:rPr>
          <w:lang w:val="es-ES_tradnl"/>
        </w:rPr>
        <w:t xml:space="preserve"> </w:t>
      </w:r>
      <w:r w:rsidR="00987FF3" w:rsidRPr="00EE3D94">
        <w:rPr>
          <w:lang w:val="es-ES_tradnl"/>
        </w:rPr>
        <w:t xml:space="preserve">Dinamarca: </w:t>
      </w:r>
      <w:r w:rsidR="00130951" w:rsidRPr="00EE3D94">
        <w:rPr>
          <w:lang w:val="es-ES_tradnl"/>
        </w:rPr>
        <w:t>PNUD/Unión Interparla</w:t>
      </w:r>
      <w:r w:rsidR="00987FF3" w:rsidRPr="00EE3D94">
        <w:rPr>
          <w:lang w:val="es-ES_tradnl"/>
        </w:rPr>
        <w:t>mentaria</w:t>
      </w:r>
      <w:r w:rsidR="00130951" w:rsidRPr="00EE3D94">
        <w:rPr>
          <w:lang w:val="es-ES_tradnl"/>
        </w:rPr>
        <w:t>.</w:t>
      </w:r>
    </w:p>
    <w:p w14:paraId="136FB40B" w14:textId="1357CF30" w:rsidR="00A5721C" w:rsidRPr="00EE3D94" w:rsidRDefault="00A5721C" w:rsidP="003D107D">
      <w:pPr>
        <w:pStyle w:val="Textopredeterminado"/>
        <w:ind w:left="567" w:hanging="567"/>
        <w:jc w:val="both"/>
        <w:rPr>
          <w:szCs w:val="24"/>
          <w:lang w:val="es-ES_tradnl"/>
        </w:rPr>
      </w:pPr>
      <w:r w:rsidRPr="00EE3D94">
        <w:rPr>
          <w:szCs w:val="24"/>
          <w:lang w:val="es-ES_tradnl"/>
        </w:rPr>
        <w:t xml:space="preserve">Przeworski, </w:t>
      </w:r>
      <w:r w:rsidR="0067016D" w:rsidRPr="00EE3D94">
        <w:rPr>
          <w:szCs w:val="24"/>
          <w:lang w:val="es-ES_tradnl"/>
        </w:rPr>
        <w:t>A</w:t>
      </w:r>
      <w:r w:rsidR="0067016D">
        <w:rPr>
          <w:szCs w:val="24"/>
          <w:lang w:val="es-ES_tradnl"/>
        </w:rPr>
        <w:t>.</w:t>
      </w:r>
      <w:r w:rsidR="0067016D" w:rsidRPr="00EE3D94">
        <w:rPr>
          <w:szCs w:val="24"/>
          <w:lang w:val="es-ES_tradnl"/>
        </w:rPr>
        <w:t xml:space="preserve"> </w:t>
      </w:r>
      <w:r w:rsidRPr="00EE3D94">
        <w:rPr>
          <w:szCs w:val="24"/>
          <w:lang w:val="es-ES_tradnl"/>
        </w:rPr>
        <w:t>(1998</w:t>
      </w:r>
      <w:r w:rsidR="0067016D" w:rsidRPr="00EE3D94">
        <w:rPr>
          <w:szCs w:val="24"/>
          <w:lang w:val="es-ES_tradnl"/>
        </w:rPr>
        <w:t>)</w:t>
      </w:r>
      <w:r w:rsidR="0067016D">
        <w:rPr>
          <w:szCs w:val="24"/>
          <w:lang w:val="es-ES_tradnl"/>
        </w:rPr>
        <w:t>.</w:t>
      </w:r>
      <w:r w:rsidR="0067016D" w:rsidRPr="00EE3D94">
        <w:rPr>
          <w:szCs w:val="24"/>
          <w:lang w:val="es-ES_tradnl"/>
        </w:rPr>
        <w:t xml:space="preserve"> </w:t>
      </w:r>
      <w:r w:rsidRPr="00EE3D94">
        <w:rPr>
          <w:szCs w:val="24"/>
          <w:lang w:val="es-ES_tradnl"/>
        </w:rPr>
        <w:t>Democracia y representación</w:t>
      </w:r>
      <w:r w:rsidR="0067016D">
        <w:rPr>
          <w:szCs w:val="24"/>
          <w:lang w:val="es-ES_tradnl"/>
        </w:rPr>
        <w:t>.</w:t>
      </w:r>
      <w:r w:rsidRPr="00EE3D94">
        <w:rPr>
          <w:szCs w:val="24"/>
          <w:lang w:val="es-ES_tradnl"/>
        </w:rPr>
        <w:t xml:space="preserve"> </w:t>
      </w:r>
      <w:r w:rsidRPr="00EE3D94">
        <w:rPr>
          <w:i/>
          <w:szCs w:val="24"/>
          <w:lang w:val="es-ES_tradnl"/>
        </w:rPr>
        <w:t>Revista CLAD</w:t>
      </w:r>
      <w:r w:rsidR="009A5B24" w:rsidRPr="00EE3D94">
        <w:rPr>
          <w:szCs w:val="24"/>
          <w:lang w:val="es-ES_tradnl"/>
        </w:rPr>
        <w:t xml:space="preserve"> </w:t>
      </w:r>
      <w:r w:rsidR="009A5B24" w:rsidRPr="006735A7">
        <w:rPr>
          <w:i/>
          <w:szCs w:val="24"/>
          <w:lang w:val="es-ES_tradnl"/>
        </w:rPr>
        <w:t>Reforma y Democracia</w:t>
      </w:r>
      <w:r w:rsidR="009A5B24" w:rsidRPr="00EE3D94">
        <w:rPr>
          <w:szCs w:val="24"/>
          <w:lang w:val="es-ES_tradnl"/>
        </w:rPr>
        <w:t xml:space="preserve">, </w:t>
      </w:r>
      <w:r w:rsidR="0067016D">
        <w:rPr>
          <w:szCs w:val="24"/>
          <w:lang w:val="es-ES_tradnl"/>
        </w:rPr>
        <w:t>(</w:t>
      </w:r>
      <w:r w:rsidR="009A5B24" w:rsidRPr="00EE3D94">
        <w:rPr>
          <w:szCs w:val="24"/>
          <w:lang w:val="es-ES_tradnl"/>
        </w:rPr>
        <w:t>10</w:t>
      </w:r>
      <w:r w:rsidR="0067016D">
        <w:rPr>
          <w:szCs w:val="24"/>
          <w:lang w:val="es-ES_tradnl"/>
        </w:rPr>
        <w:t>)</w:t>
      </w:r>
      <w:r w:rsidR="009A5B24" w:rsidRPr="00EE3D94">
        <w:rPr>
          <w:szCs w:val="24"/>
          <w:lang w:val="es-ES_tradnl"/>
        </w:rPr>
        <w:t>, 7-31</w:t>
      </w:r>
      <w:r w:rsidRPr="00EE3D94">
        <w:rPr>
          <w:szCs w:val="24"/>
          <w:lang w:val="es-ES_tradnl"/>
        </w:rPr>
        <w:t>.</w:t>
      </w:r>
    </w:p>
    <w:p w14:paraId="5C5BC144" w14:textId="77777777" w:rsidR="00A35727" w:rsidRPr="00EE3D94" w:rsidRDefault="00A35727" w:rsidP="003D107D">
      <w:pPr>
        <w:pStyle w:val="Textopredeterminado"/>
        <w:ind w:left="567" w:hanging="567"/>
        <w:jc w:val="both"/>
        <w:rPr>
          <w:szCs w:val="24"/>
          <w:lang w:val="es-ES_tradnl"/>
        </w:rPr>
      </w:pPr>
    </w:p>
    <w:p w14:paraId="47123D0C" w14:textId="2AB430F1" w:rsidR="00A35727" w:rsidRPr="00EE3D94" w:rsidRDefault="00A35727" w:rsidP="003D107D">
      <w:pPr>
        <w:pStyle w:val="Textopredeterminado"/>
        <w:ind w:left="567" w:hanging="567"/>
        <w:jc w:val="both"/>
        <w:rPr>
          <w:szCs w:val="24"/>
          <w:lang w:val="es-ES_tradnl"/>
        </w:rPr>
      </w:pPr>
      <w:r w:rsidRPr="00EE3D94">
        <w:rPr>
          <w:szCs w:val="24"/>
          <w:lang w:val="es-ES_tradnl"/>
        </w:rPr>
        <w:t>Red Latinoamericana por la Transparencia Legislativa</w:t>
      </w:r>
      <w:r w:rsidR="0067016D">
        <w:rPr>
          <w:szCs w:val="24"/>
          <w:lang w:val="es-ES_tradnl"/>
        </w:rPr>
        <w:t xml:space="preserve"> [RLTL].</w:t>
      </w:r>
      <w:r w:rsidRPr="00EE3D94">
        <w:rPr>
          <w:szCs w:val="24"/>
          <w:lang w:val="es-ES_tradnl"/>
        </w:rPr>
        <w:t xml:space="preserve"> (2014)</w:t>
      </w:r>
      <w:r w:rsidR="0067016D">
        <w:rPr>
          <w:szCs w:val="24"/>
          <w:lang w:val="es-ES_tradnl"/>
        </w:rPr>
        <w:t>.</w:t>
      </w:r>
      <w:r w:rsidRPr="00EE3D94">
        <w:rPr>
          <w:szCs w:val="24"/>
          <w:lang w:val="es-ES_tradnl"/>
        </w:rPr>
        <w:t xml:space="preserve"> </w:t>
      </w:r>
      <w:r w:rsidR="00EC368B" w:rsidRPr="00EE3D94">
        <w:rPr>
          <w:i/>
          <w:szCs w:val="24"/>
          <w:lang w:val="es-ES_tradnl"/>
        </w:rPr>
        <w:t>Índice Latinoamericano de transparencia legislativa</w:t>
      </w:r>
      <w:r w:rsidR="00EC368B" w:rsidRPr="00EE3D94">
        <w:rPr>
          <w:szCs w:val="24"/>
          <w:lang w:val="es-ES_tradnl"/>
        </w:rPr>
        <w:t>.</w:t>
      </w:r>
      <w:r w:rsidR="009A5B24" w:rsidRPr="00EE3D94">
        <w:rPr>
          <w:szCs w:val="24"/>
          <w:lang w:val="es-ES_tradnl"/>
        </w:rPr>
        <w:t xml:space="preserve"> </w:t>
      </w:r>
      <w:r w:rsidR="0067016D">
        <w:rPr>
          <w:szCs w:val="24"/>
          <w:lang w:val="es-ES_tradnl"/>
        </w:rPr>
        <w:t>Recuperado de</w:t>
      </w:r>
      <w:r w:rsidR="00D46926" w:rsidRPr="00EE3D94">
        <w:rPr>
          <w:szCs w:val="24"/>
          <w:lang w:val="es-ES_tradnl"/>
        </w:rPr>
        <w:t xml:space="preserve"> </w:t>
      </w:r>
      <w:hyperlink r:id="rId18" w:history="1">
        <w:r w:rsidR="00D46926" w:rsidRPr="00EE3D94">
          <w:rPr>
            <w:rStyle w:val="Hipervnculo"/>
            <w:szCs w:val="24"/>
            <w:lang w:val="es-ES_tradnl"/>
          </w:rPr>
          <w:t>http://indice2014.transparencialegislativa.org/</w:t>
        </w:r>
      </w:hyperlink>
      <w:r w:rsidR="00D46926" w:rsidRPr="00EE3D94">
        <w:rPr>
          <w:szCs w:val="24"/>
          <w:lang w:val="es-ES_tradnl"/>
        </w:rPr>
        <w:t xml:space="preserve"> </w:t>
      </w:r>
    </w:p>
    <w:p w14:paraId="3F5AC1F8" w14:textId="77777777" w:rsidR="00A5721C" w:rsidRPr="00EE3D94" w:rsidRDefault="00A5721C" w:rsidP="003D107D">
      <w:pPr>
        <w:pStyle w:val="Textopredeterminado"/>
        <w:ind w:left="567" w:hanging="567"/>
        <w:jc w:val="both"/>
        <w:rPr>
          <w:szCs w:val="24"/>
          <w:lang w:val="es-ES_tradnl"/>
        </w:rPr>
      </w:pPr>
    </w:p>
    <w:p w14:paraId="0060E288" w14:textId="5DC6527C" w:rsidR="009A5B24" w:rsidRPr="00EE3D94" w:rsidRDefault="009A5B24" w:rsidP="003D107D">
      <w:pPr>
        <w:pStyle w:val="Textopredeterminado"/>
        <w:ind w:left="567" w:hanging="567"/>
        <w:jc w:val="both"/>
        <w:rPr>
          <w:szCs w:val="24"/>
          <w:lang w:val="es-ES_tradnl"/>
        </w:rPr>
      </w:pPr>
      <w:r w:rsidRPr="00EE3D94">
        <w:rPr>
          <w:szCs w:val="24"/>
          <w:lang w:val="es-ES_tradnl"/>
        </w:rPr>
        <w:t>Red Latinoamericana por la Transparencia Legislativa</w:t>
      </w:r>
      <w:r w:rsidR="0067016D">
        <w:rPr>
          <w:szCs w:val="24"/>
          <w:lang w:val="es-ES_tradnl"/>
        </w:rPr>
        <w:t xml:space="preserve"> [RLTL].</w:t>
      </w:r>
      <w:r w:rsidRPr="00EE3D94">
        <w:rPr>
          <w:szCs w:val="24"/>
          <w:lang w:val="es-ES_tradnl"/>
        </w:rPr>
        <w:t xml:space="preserve"> (2016)</w:t>
      </w:r>
      <w:r w:rsidR="0067016D">
        <w:rPr>
          <w:szCs w:val="24"/>
          <w:lang w:val="es-ES_tradnl"/>
        </w:rPr>
        <w:t>.</w:t>
      </w:r>
      <w:r w:rsidRPr="00EE3D94">
        <w:rPr>
          <w:szCs w:val="24"/>
          <w:lang w:val="es-ES_tradnl"/>
        </w:rPr>
        <w:t xml:space="preserve"> </w:t>
      </w:r>
      <w:r w:rsidRPr="00EE3D94">
        <w:rPr>
          <w:i/>
          <w:szCs w:val="24"/>
          <w:lang w:val="es-ES_tradnl"/>
        </w:rPr>
        <w:t>Índice Latinoamericano de transparencia legislativa</w:t>
      </w:r>
      <w:r w:rsidRPr="00EE3D94">
        <w:rPr>
          <w:szCs w:val="24"/>
          <w:lang w:val="es-ES_tradnl"/>
        </w:rPr>
        <w:t xml:space="preserve">. </w:t>
      </w:r>
      <w:r w:rsidR="0067016D">
        <w:rPr>
          <w:szCs w:val="24"/>
          <w:lang w:val="es-ES_tradnl"/>
        </w:rPr>
        <w:t>Recuperado de</w:t>
      </w:r>
      <w:r w:rsidRPr="00EE3D94">
        <w:rPr>
          <w:szCs w:val="24"/>
          <w:lang w:val="es-ES_tradnl"/>
        </w:rPr>
        <w:t xml:space="preserve"> </w:t>
      </w:r>
      <w:hyperlink r:id="rId19" w:history="1">
        <w:r w:rsidR="00D46926" w:rsidRPr="00EE3D94">
          <w:rPr>
            <w:rStyle w:val="Hipervnculo"/>
            <w:szCs w:val="24"/>
            <w:lang w:val="es-ES_tradnl"/>
          </w:rPr>
          <w:t>http://indice.transparencialegislativa.org/</w:t>
        </w:r>
      </w:hyperlink>
      <w:r w:rsidR="00D46926" w:rsidRPr="00EE3D94">
        <w:rPr>
          <w:szCs w:val="24"/>
          <w:lang w:val="es-ES_tradnl"/>
        </w:rPr>
        <w:t xml:space="preserve"> </w:t>
      </w:r>
    </w:p>
    <w:p w14:paraId="338B419D" w14:textId="77777777" w:rsidR="009A5B24" w:rsidRPr="00EE3D94" w:rsidRDefault="009A5B24" w:rsidP="003D107D">
      <w:pPr>
        <w:pStyle w:val="Textopredeterminado"/>
        <w:ind w:left="567" w:hanging="567"/>
        <w:jc w:val="both"/>
        <w:rPr>
          <w:szCs w:val="24"/>
          <w:lang w:val="es-ES_tradnl"/>
        </w:rPr>
      </w:pPr>
    </w:p>
    <w:p w14:paraId="6B44BA9C" w14:textId="4B8AF5EB" w:rsidR="00522688" w:rsidRPr="00EE3D94" w:rsidRDefault="00522688" w:rsidP="003D107D">
      <w:pPr>
        <w:ind w:left="567" w:hanging="567"/>
        <w:jc w:val="both"/>
        <w:rPr>
          <w:lang w:val="es-ES_tradnl"/>
        </w:rPr>
      </w:pPr>
      <w:r w:rsidRPr="00EE3D94">
        <w:rPr>
          <w:lang w:val="es-ES_tradnl"/>
        </w:rPr>
        <w:t xml:space="preserve">Reniu Vilamala, </w:t>
      </w:r>
      <w:r w:rsidR="0067016D" w:rsidRPr="00EE3D94">
        <w:rPr>
          <w:lang w:val="es-ES_tradnl"/>
        </w:rPr>
        <w:t>J</w:t>
      </w:r>
      <w:r w:rsidR="0067016D">
        <w:rPr>
          <w:lang w:val="es-ES_tradnl"/>
        </w:rPr>
        <w:t>.</w:t>
      </w:r>
      <w:r w:rsidR="0067016D" w:rsidRPr="00EE3D94">
        <w:rPr>
          <w:lang w:val="es-ES_tradnl"/>
        </w:rPr>
        <w:t xml:space="preserve"> </w:t>
      </w:r>
      <w:r w:rsidRPr="00EE3D94">
        <w:rPr>
          <w:lang w:val="es-ES_tradnl"/>
        </w:rPr>
        <w:t>M. (2008)</w:t>
      </w:r>
      <w:r w:rsidR="0067016D">
        <w:rPr>
          <w:lang w:val="es-ES_tradnl"/>
        </w:rPr>
        <w:t>.</w:t>
      </w:r>
      <w:r w:rsidRPr="00EE3D94">
        <w:rPr>
          <w:lang w:val="es-ES_tradnl"/>
        </w:rPr>
        <w:t xml:space="preserve"> Los gobiernos de coalición en los sistemas presidenciales de Latinoamérica: elementos para el debate. </w:t>
      </w:r>
      <w:r w:rsidRPr="006735A7">
        <w:rPr>
          <w:i/>
          <w:lang w:val="es-ES_tradnl"/>
        </w:rPr>
        <w:t>CIDOB</w:t>
      </w:r>
      <w:r w:rsidRPr="00EE3D94">
        <w:rPr>
          <w:lang w:val="es-ES_tradnl"/>
        </w:rPr>
        <w:t xml:space="preserve">, </w:t>
      </w:r>
      <w:r w:rsidR="0067016D">
        <w:rPr>
          <w:lang w:val="es-ES_tradnl"/>
        </w:rPr>
        <w:t>(</w:t>
      </w:r>
      <w:r w:rsidRPr="00EE3D94">
        <w:rPr>
          <w:lang w:val="es-ES_tradnl"/>
        </w:rPr>
        <w:t>25</w:t>
      </w:r>
      <w:r w:rsidR="0067016D">
        <w:rPr>
          <w:lang w:val="es-ES_tradnl"/>
        </w:rPr>
        <w:t>)</w:t>
      </w:r>
      <w:r w:rsidRPr="00EE3D94">
        <w:rPr>
          <w:lang w:val="es-ES_tradnl"/>
        </w:rPr>
        <w:t>, 21-23.</w:t>
      </w:r>
    </w:p>
    <w:p w14:paraId="5D359291" w14:textId="77777777" w:rsidR="00522688" w:rsidRPr="00EE3D94" w:rsidRDefault="00522688" w:rsidP="003D107D">
      <w:pPr>
        <w:pStyle w:val="Cuerpo"/>
        <w:ind w:left="567" w:hanging="567"/>
        <w:jc w:val="both"/>
        <w:rPr>
          <w:rFonts w:hAnsi="Times New Roman" w:cs="Times New Roman"/>
        </w:rPr>
      </w:pPr>
    </w:p>
    <w:p w14:paraId="29775D57" w14:textId="4F53978C" w:rsidR="00522688" w:rsidRPr="00EE3D94" w:rsidRDefault="00522688" w:rsidP="003D107D">
      <w:pPr>
        <w:ind w:left="567" w:hanging="567"/>
        <w:jc w:val="both"/>
        <w:rPr>
          <w:lang w:val="es-ES_tradnl"/>
        </w:rPr>
      </w:pPr>
      <w:r w:rsidRPr="00EE3D94">
        <w:rPr>
          <w:lang w:val="es-ES_tradnl"/>
        </w:rPr>
        <w:t>Reniu Vilamala, J</w:t>
      </w:r>
      <w:r w:rsidR="0067016D">
        <w:rPr>
          <w:lang w:val="es-ES_tradnl"/>
        </w:rPr>
        <w:t>.</w:t>
      </w:r>
      <w:r w:rsidRPr="00EE3D94">
        <w:rPr>
          <w:lang w:val="es-ES_tradnl"/>
        </w:rPr>
        <w:t xml:space="preserve"> M</w:t>
      </w:r>
      <w:r w:rsidR="0067016D">
        <w:rPr>
          <w:lang w:val="es-ES_tradnl"/>
        </w:rPr>
        <w:t>.</w:t>
      </w:r>
      <w:r w:rsidRPr="00EE3D94">
        <w:rPr>
          <w:lang w:val="es-ES_tradnl"/>
        </w:rPr>
        <w:t xml:space="preserve"> y Albala, </w:t>
      </w:r>
      <w:r w:rsidR="0067016D" w:rsidRPr="00EE3D94">
        <w:rPr>
          <w:lang w:val="es-ES_tradnl"/>
        </w:rPr>
        <w:t>A</w:t>
      </w:r>
      <w:r w:rsidR="0067016D">
        <w:rPr>
          <w:lang w:val="es-ES_tradnl"/>
        </w:rPr>
        <w:t>.</w:t>
      </w:r>
      <w:r w:rsidR="0067016D" w:rsidRPr="00EE3D94">
        <w:rPr>
          <w:lang w:val="es-ES_tradnl"/>
        </w:rPr>
        <w:t xml:space="preserve"> </w:t>
      </w:r>
      <w:r w:rsidRPr="00EE3D94">
        <w:rPr>
          <w:lang w:val="es-ES_tradnl"/>
        </w:rPr>
        <w:t>(2011)</w:t>
      </w:r>
      <w:r w:rsidR="0067016D">
        <w:rPr>
          <w:lang w:val="es-ES_tradnl"/>
        </w:rPr>
        <w:t>.</w:t>
      </w:r>
      <w:r w:rsidRPr="00EE3D94">
        <w:rPr>
          <w:lang w:val="es-ES_tradnl"/>
        </w:rPr>
        <w:t xml:space="preserve"> Los gobiernos de coalición y su incidencia sobre los presidencialismos latinoamericanos: el caso del Cono Sur</w:t>
      </w:r>
      <w:r w:rsidR="0067016D">
        <w:rPr>
          <w:lang w:val="es-ES_tradnl"/>
        </w:rPr>
        <w:t>.</w:t>
      </w:r>
      <w:r w:rsidRPr="00EE3D94">
        <w:rPr>
          <w:lang w:val="es-ES_tradnl"/>
        </w:rPr>
        <w:t xml:space="preserve"> </w:t>
      </w:r>
      <w:r w:rsidR="0067016D">
        <w:rPr>
          <w:i/>
          <w:lang w:val="es-ES_tradnl"/>
        </w:rPr>
        <w:t>Estudios Políticos (México)</w:t>
      </w:r>
      <w:r w:rsidR="0067016D" w:rsidRPr="006735A7">
        <w:rPr>
          <w:lang w:val="es-ES_tradnl"/>
        </w:rPr>
        <w:t>,</w:t>
      </w:r>
      <w:r w:rsidRPr="00EE3D94">
        <w:rPr>
          <w:i/>
          <w:lang w:val="es-ES_tradnl"/>
        </w:rPr>
        <w:t xml:space="preserve"> </w:t>
      </w:r>
      <w:r w:rsidR="0067016D">
        <w:rPr>
          <w:i/>
          <w:lang w:val="es-ES_tradnl"/>
        </w:rPr>
        <w:t>(</w:t>
      </w:r>
      <w:r w:rsidRPr="00EE3D94">
        <w:rPr>
          <w:lang w:val="es-ES_tradnl"/>
        </w:rPr>
        <w:t>26</w:t>
      </w:r>
      <w:r w:rsidR="0067016D">
        <w:rPr>
          <w:lang w:val="es-ES_tradnl"/>
        </w:rPr>
        <w:t>)</w:t>
      </w:r>
      <w:r w:rsidRPr="00EE3D94">
        <w:rPr>
          <w:lang w:val="es-ES_tradnl"/>
        </w:rPr>
        <w:t xml:space="preserve">, </w:t>
      </w:r>
      <w:r w:rsidR="0067016D">
        <w:rPr>
          <w:lang w:val="es-ES_tradnl"/>
        </w:rPr>
        <w:t>s/p</w:t>
      </w:r>
      <w:r w:rsidRPr="00EE3D94">
        <w:rPr>
          <w:lang w:val="es-ES_tradnl"/>
        </w:rPr>
        <w:t>.</w:t>
      </w:r>
    </w:p>
    <w:p w14:paraId="4397968C" w14:textId="77777777" w:rsidR="00522688" w:rsidRPr="00EE3D94" w:rsidRDefault="00522688" w:rsidP="003D107D">
      <w:pPr>
        <w:pStyle w:val="Cuerpo"/>
        <w:ind w:left="567" w:hanging="567"/>
        <w:jc w:val="both"/>
        <w:rPr>
          <w:rFonts w:hAnsi="Times New Roman" w:cs="Times New Roman"/>
        </w:rPr>
      </w:pPr>
    </w:p>
    <w:p w14:paraId="13974322" w14:textId="5C4877F8" w:rsidR="00A5721C" w:rsidRPr="00EE3D94" w:rsidRDefault="00A5721C" w:rsidP="003D107D">
      <w:pPr>
        <w:pStyle w:val="Cuerpo"/>
        <w:ind w:left="567" w:hanging="567"/>
        <w:jc w:val="both"/>
        <w:rPr>
          <w:rFonts w:hAnsi="Times New Roman" w:cs="Times New Roman"/>
        </w:rPr>
      </w:pPr>
      <w:r w:rsidRPr="00EE3D94">
        <w:rPr>
          <w:rFonts w:hAnsi="Times New Roman" w:cs="Times New Roman"/>
        </w:rPr>
        <w:t>Sánchez de Dios, M</w:t>
      </w:r>
      <w:r w:rsidR="0067016D">
        <w:rPr>
          <w:rFonts w:hAnsi="Times New Roman" w:cs="Times New Roman"/>
        </w:rPr>
        <w:t>.</w:t>
      </w:r>
      <w:r w:rsidRPr="00EE3D94">
        <w:rPr>
          <w:rFonts w:hAnsi="Times New Roman" w:cs="Times New Roman"/>
        </w:rPr>
        <w:t xml:space="preserve"> </w:t>
      </w:r>
      <w:r w:rsidR="0067016D">
        <w:rPr>
          <w:rFonts w:hAnsi="Times New Roman" w:cs="Times New Roman"/>
        </w:rPr>
        <w:t>(</w:t>
      </w:r>
      <w:r w:rsidRPr="00EE3D94">
        <w:rPr>
          <w:rFonts w:hAnsi="Times New Roman" w:cs="Times New Roman"/>
        </w:rPr>
        <w:t>1995</w:t>
      </w:r>
      <w:r w:rsidR="0067016D">
        <w:rPr>
          <w:rFonts w:hAnsi="Times New Roman" w:cs="Times New Roman"/>
        </w:rPr>
        <w:t>).</w:t>
      </w:r>
      <w:r w:rsidR="0067016D" w:rsidRPr="00EE3D94">
        <w:rPr>
          <w:rFonts w:hAnsi="Times New Roman" w:cs="Times New Roman"/>
        </w:rPr>
        <w:t xml:space="preserve"> </w:t>
      </w:r>
      <w:r w:rsidRPr="00EE3D94">
        <w:rPr>
          <w:rFonts w:hAnsi="Times New Roman" w:cs="Times New Roman"/>
        </w:rPr>
        <w:t>La esencia del régimen: el control parlamentario del Gobierno</w:t>
      </w:r>
      <w:r w:rsidR="0067016D">
        <w:rPr>
          <w:rFonts w:hAnsi="Times New Roman" w:cs="Times New Roman"/>
        </w:rPr>
        <w:t>.</w:t>
      </w:r>
      <w:r w:rsidRPr="00EE3D94">
        <w:rPr>
          <w:rFonts w:hAnsi="Times New Roman" w:cs="Times New Roman"/>
        </w:rPr>
        <w:t xml:space="preserve"> </w:t>
      </w:r>
      <w:r w:rsidRPr="00EE3D94">
        <w:rPr>
          <w:rFonts w:hAnsi="Times New Roman" w:cs="Times New Roman"/>
          <w:i/>
        </w:rPr>
        <w:t>Política y Sociedad</w:t>
      </w:r>
      <w:r w:rsidR="00D46926" w:rsidRPr="00EE3D94">
        <w:rPr>
          <w:rFonts w:hAnsi="Times New Roman" w:cs="Times New Roman"/>
        </w:rPr>
        <w:t xml:space="preserve">, </w:t>
      </w:r>
      <w:r w:rsidR="0067016D">
        <w:rPr>
          <w:rFonts w:hAnsi="Times New Roman" w:cs="Times New Roman"/>
        </w:rPr>
        <w:t>(</w:t>
      </w:r>
      <w:r w:rsidR="00D46926" w:rsidRPr="00EE3D94">
        <w:rPr>
          <w:rFonts w:hAnsi="Times New Roman" w:cs="Times New Roman"/>
        </w:rPr>
        <w:t>20</w:t>
      </w:r>
      <w:r w:rsidR="0067016D">
        <w:rPr>
          <w:rFonts w:hAnsi="Times New Roman" w:cs="Times New Roman"/>
        </w:rPr>
        <w:t>)</w:t>
      </w:r>
      <w:r w:rsidR="00D46926" w:rsidRPr="00EE3D94">
        <w:rPr>
          <w:rFonts w:hAnsi="Times New Roman" w:cs="Times New Roman"/>
        </w:rPr>
        <w:t xml:space="preserve">, </w:t>
      </w:r>
      <w:r w:rsidR="0024514B" w:rsidRPr="00EE3D94">
        <w:rPr>
          <w:rFonts w:hAnsi="Times New Roman" w:cs="Times New Roman"/>
        </w:rPr>
        <w:t>35-52</w:t>
      </w:r>
      <w:r w:rsidRPr="00EE3D94">
        <w:rPr>
          <w:rFonts w:hAnsi="Times New Roman" w:cs="Times New Roman"/>
        </w:rPr>
        <w:t>.</w:t>
      </w:r>
    </w:p>
    <w:p w14:paraId="67E0F2FC" w14:textId="77777777" w:rsidR="00800168" w:rsidRPr="00EE3D94" w:rsidRDefault="00800168" w:rsidP="003D107D">
      <w:pPr>
        <w:pStyle w:val="Cuerpo"/>
        <w:ind w:left="567" w:hanging="567"/>
        <w:jc w:val="both"/>
        <w:rPr>
          <w:rFonts w:hAnsi="Times New Roman" w:cs="Times New Roman"/>
        </w:rPr>
      </w:pPr>
    </w:p>
    <w:p w14:paraId="02BD8398" w14:textId="77777777" w:rsidR="00AD2DCA" w:rsidRPr="00EE3D94" w:rsidRDefault="00AD2DCA" w:rsidP="00AD2DCA">
      <w:pPr>
        <w:ind w:left="567" w:hanging="567"/>
        <w:jc w:val="both"/>
        <w:rPr>
          <w:lang w:val="es-ES_tradnl"/>
        </w:rPr>
      </w:pPr>
      <w:r w:rsidRPr="00EE3D94">
        <w:rPr>
          <w:lang w:val="es-ES_tradnl"/>
        </w:rPr>
        <w:t>Schedler, A</w:t>
      </w:r>
      <w:r>
        <w:rPr>
          <w:lang w:val="es-ES_tradnl"/>
        </w:rPr>
        <w:t>.</w:t>
      </w:r>
      <w:r w:rsidRPr="00EE3D94">
        <w:rPr>
          <w:lang w:val="es-ES_tradnl"/>
        </w:rPr>
        <w:t xml:space="preserve"> (</w:t>
      </w:r>
      <w:r>
        <w:rPr>
          <w:lang w:val="es-ES_tradnl"/>
        </w:rPr>
        <w:t>C</w:t>
      </w:r>
      <w:r w:rsidRPr="00EE3D94">
        <w:rPr>
          <w:lang w:val="es-ES_tradnl"/>
        </w:rPr>
        <w:t>oord.) (1999)</w:t>
      </w:r>
      <w:r>
        <w:rPr>
          <w:lang w:val="es-ES_tradnl"/>
        </w:rPr>
        <w:t>.</w:t>
      </w:r>
      <w:r w:rsidRPr="00EE3D94">
        <w:rPr>
          <w:lang w:val="es-ES_tradnl"/>
        </w:rPr>
        <w:t xml:space="preserve"> </w:t>
      </w:r>
      <w:r w:rsidRPr="00EE3D94">
        <w:rPr>
          <w:i/>
          <w:lang w:val="es-ES_tradnl"/>
        </w:rPr>
        <w:t>The self-restratining state. Power and accountability in new democracies</w:t>
      </w:r>
      <w:r>
        <w:rPr>
          <w:lang w:val="es-ES_tradnl"/>
        </w:rPr>
        <w:t>.</w:t>
      </w:r>
      <w:r w:rsidRPr="00EE3D94">
        <w:rPr>
          <w:lang w:val="es-ES_tradnl"/>
        </w:rPr>
        <w:t xml:space="preserve"> </w:t>
      </w:r>
      <w:r>
        <w:rPr>
          <w:lang w:val="es-ES_tradnl"/>
        </w:rPr>
        <w:t>London, England</w:t>
      </w:r>
      <w:r w:rsidRPr="00EE3D94">
        <w:rPr>
          <w:lang w:val="es-ES_tradnl"/>
        </w:rPr>
        <w:t>: Lynne Rienner</w:t>
      </w:r>
      <w:r>
        <w:rPr>
          <w:lang w:val="es-ES_tradnl"/>
        </w:rPr>
        <w:t xml:space="preserve"> Publishers</w:t>
      </w:r>
      <w:r w:rsidRPr="00EE3D94">
        <w:rPr>
          <w:lang w:val="es-ES_tradnl"/>
        </w:rPr>
        <w:t>.</w:t>
      </w:r>
    </w:p>
    <w:p w14:paraId="747E84F6" w14:textId="50C7AC4E" w:rsidR="00AD2DCA" w:rsidRDefault="00AD2DCA" w:rsidP="006735A7">
      <w:pPr>
        <w:pStyle w:val="Sangradetextonormal"/>
        <w:spacing w:after="0"/>
        <w:ind w:left="0"/>
        <w:jc w:val="both"/>
        <w:rPr>
          <w:lang w:val="es-ES_tradnl"/>
        </w:rPr>
      </w:pPr>
    </w:p>
    <w:p w14:paraId="256AC6C5" w14:textId="53D99841" w:rsidR="005B530E" w:rsidRPr="00EE3D94" w:rsidRDefault="005B530E" w:rsidP="003D107D">
      <w:pPr>
        <w:pStyle w:val="Sangradetextonormal"/>
        <w:spacing w:after="0"/>
        <w:ind w:left="567" w:hanging="567"/>
        <w:jc w:val="both"/>
        <w:rPr>
          <w:lang w:val="es-ES_tradnl"/>
        </w:rPr>
      </w:pPr>
      <w:r w:rsidRPr="00EE3D94">
        <w:rPr>
          <w:lang w:val="es-ES_tradnl"/>
        </w:rPr>
        <w:t>Shugart, M</w:t>
      </w:r>
      <w:r w:rsidR="0067016D">
        <w:rPr>
          <w:lang w:val="es-ES_tradnl"/>
        </w:rPr>
        <w:t>.</w:t>
      </w:r>
      <w:r w:rsidRPr="00EE3D94">
        <w:rPr>
          <w:lang w:val="es-ES_tradnl"/>
        </w:rPr>
        <w:t xml:space="preserve"> (2000)</w:t>
      </w:r>
      <w:r w:rsidR="0067016D">
        <w:rPr>
          <w:lang w:val="es-ES_tradnl"/>
        </w:rPr>
        <w:t>.</w:t>
      </w:r>
      <w:r w:rsidRPr="00EE3D94">
        <w:rPr>
          <w:lang w:val="es-ES_tradnl"/>
        </w:rPr>
        <w:t xml:space="preserve"> The electoral cycle and institutional sources of divided presidential government</w:t>
      </w:r>
      <w:r w:rsidR="0067016D">
        <w:rPr>
          <w:i/>
          <w:iCs/>
          <w:lang w:val="es-ES_tradnl"/>
        </w:rPr>
        <w:t>.</w:t>
      </w:r>
      <w:r w:rsidR="0067016D" w:rsidRPr="00EE3D94">
        <w:rPr>
          <w:i/>
          <w:iCs/>
          <w:lang w:val="es-ES_tradnl"/>
        </w:rPr>
        <w:t xml:space="preserve"> </w:t>
      </w:r>
      <w:r w:rsidRPr="00EE3D94">
        <w:rPr>
          <w:i/>
          <w:iCs/>
          <w:lang w:val="es-ES_tradnl"/>
        </w:rPr>
        <w:t>American Political Science Review</w:t>
      </w:r>
      <w:r w:rsidRPr="00EE3D94">
        <w:rPr>
          <w:lang w:val="es-ES_tradnl"/>
        </w:rPr>
        <w:t xml:space="preserve">, </w:t>
      </w:r>
      <w:r w:rsidRPr="006735A7">
        <w:rPr>
          <w:i/>
          <w:lang w:val="es-ES_tradnl"/>
        </w:rPr>
        <w:t>82</w:t>
      </w:r>
      <w:r w:rsidRPr="00EE3D94">
        <w:rPr>
          <w:lang w:val="es-ES_tradnl"/>
        </w:rPr>
        <w:t>(2), 327-343.</w:t>
      </w:r>
    </w:p>
    <w:p w14:paraId="2C0A6253" w14:textId="77777777" w:rsidR="005B530E" w:rsidRPr="00EE3D94" w:rsidRDefault="005B530E" w:rsidP="003D107D">
      <w:pPr>
        <w:pStyle w:val="Cuerpo"/>
        <w:ind w:left="567" w:hanging="567"/>
        <w:jc w:val="both"/>
        <w:rPr>
          <w:rFonts w:hAnsi="Times New Roman" w:cs="Times New Roman"/>
        </w:rPr>
      </w:pPr>
    </w:p>
    <w:p w14:paraId="46D03797" w14:textId="77777777" w:rsidR="002C2D83" w:rsidRPr="00EE3D94" w:rsidRDefault="002C2D83" w:rsidP="003D107D">
      <w:pPr>
        <w:ind w:left="567" w:hanging="567"/>
        <w:jc w:val="both"/>
        <w:rPr>
          <w:lang w:val="es-ES_tradnl"/>
        </w:rPr>
      </w:pPr>
    </w:p>
    <w:p w14:paraId="6C3102EC" w14:textId="12D406FE" w:rsidR="002C2D83" w:rsidRPr="00EE3D94" w:rsidRDefault="002C2D83" w:rsidP="003D107D">
      <w:pPr>
        <w:ind w:left="567" w:hanging="567"/>
        <w:jc w:val="both"/>
        <w:rPr>
          <w:lang w:val="es-ES_tradnl"/>
        </w:rPr>
      </w:pPr>
      <w:r w:rsidRPr="00EE3D94">
        <w:rPr>
          <w:lang w:val="es-ES_tradnl"/>
        </w:rPr>
        <w:t xml:space="preserve">Smulovitz, </w:t>
      </w:r>
      <w:r w:rsidR="0067016D" w:rsidRPr="00EE3D94">
        <w:rPr>
          <w:lang w:val="es-ES_tradnl"/>
        </w:rPr>
        <w:t>C</w:t>
      </w:r>
      <w:r w:rsidR="0067016D">
        <w:rPr>
          <w:lang w:val="es-ES_tradnl"/>
        </w:rPr>
        <w:t>.</w:t>
      </w:r>
      <w:r w:rsidR="0067016D" w:rsidRPr="00EE3D94">
        <w:rPr>
          <w:lang w:val="es-ES_tradnl"/>
        </w:rPr>
        <w:t xml:space="preserve"> </w:t>
      </w:r>
      <w:r w:rsidRPr="00EE3D94">
        <w:rPr>
          <w:lang w:val="es-ES_tradnl"/>
        </w:rPr>
        <w:t>(</w:t>
      </w:r>
      <w:r w:rsidR="00DB69C5">
        <w:rPr>
          <w:lang w:val="es-ES_tradnl"/>
        </w:rPr>
        <w:t xml:space="preserve">septiembre de </w:t>
      </w:r>
      <w:r w:rsidRPr="00EE3D94">
        <w:rPr>
          <w:lang w:val="es-ES_tradnl"/>
        </w:rPr>
        <w:t>2001)</w:t>
      </w:r>
      <w:r w:rsidR="0067016D">
        <w:rPr>
          <w:lang w:val="es-ES_tradnl"/>
        </w:rPr>
        <w:t>.</w:t>
      </w:r>
      <w:r w:rsidRPr="00EE3D94">
        <w:rPr>
          <w:lang w:val="es-ES_tradnl"/>
        </w:rPr>
        <w:t xml:space="preserve"> Judialización y Accountability social en Argentina</w:t>
      </w:r>
      <w:r w:rsidR="0067016D">
        <w:rPr>
          <w:lang w:val="es-ES_tradnl"/>
        </w:rPr>
        <w:t>.</w:t>
      </w:r>
      <w:r w:rsidR="0067016D" w:rsidRPr="00EE3D94">
        <w:rPr>
          <w:lang w:val="es-ES_tradnl"/>
        </w:rPr>
        <w:t xml:space="preserve"> </w:t>
      </w:r>
      <w:r w:rsidRPr="006735A7">
        <w:rPr>
          <w:lang w:val="es-ES_tradnl"/>
        </w:rPr>
        <w:t>Trabajo presentado en el</w:t>
      </w:r>
      <w:r w:rsidRPr="00EE3D94">
        <w:rPr>
          <w:i/>
          <w:lang w:val="es-ES_tradnl"/>
        </w:rPr>
        <w:t xml:space="preserve"> XXII International Conference de la Latin American Studies, Association</w:t>
      </w:r>
      <w:r w:rsidR="00DB69C5">
        <w:rPr>
          <w:lang w:val="es-ES_tradnl"/>
        </w:rPr>
        <w:t>.</w:t>
      </w:r>
      <w:r w:rsidR="00DB69C5" w:rsidRPr="00EE3D94">
        <w:rPr>
          <w:lang w:val="es-ES_tradnl"/>
        </w:rPr>
        <w:t xml:space="preserve"> </w:t>
      </w:r>
      <w:r w:rsidR="0024514B" w:rsidRPr="00EE3D94">
        <w:rPr>
          <w:lang w:val="es-ES_tradnl"/>
        </w:rPr>
        <w:t>Washington, D.</w:t>
      </w:r>
      <w:r w:rsidR="00DB69C5">
        <w:rPr>
          <w:lang w:val="es-ES_tradnl"/>
        </w:rPr>
        <w:t xml:space="preserve"> </w:t>
      </w:r>
      <w:r w:rsidR="0024514B" w:rsidRPr="00EE3D94">
        <w:rPr>
          <w:lang w:val="es-ES_tradnl"/>
        </w:rPr>
        <w:t>C</w:t>
      </w:r>
      <w:r w:rsidR="00DB69C5">
        <w:rPr>
          <w:lang w:val="es-ES_tradnl"/>
        </w:rPr>
        <w:t>., Est</w:t>
      </w:r>
      <w:bookmarkStart w:id="0" w:name="_GoBack"/>
      <w:bookmarkEnd w:id="0"/>
      <w:r w:rsidR="00DB69C5">
        <w:rPr>
          <w:lang w:val="es-ES_tradnl"/>
        </w:rPr>
        <w:t>ados Unidos</w:t>
      </w:r>
      <w:r w:rsidRPr="00EE3D94">
        <w:rPr>
          <w:lang w:val="es-ES_tradnl"/>
        </w:rPr>
        <w:t>.</w:t>
      </w:r>
    </w:p>
    <w:p w14:paraId="30A227A9" w14:textId="77777777" w:rsidR="00E204BA" w:rsidRPr="00EE3D94" w:rsidRDefault="00E204BA" w:rsidP="003D107D">
      <w:pPr>
        <w:ind w:left="567" w:hanging="567"/>
        <w:jc w:val="both"/>
        <w:rPr>
          <w:lang w:val="es-ES_tradnl"/>
        </w:rPr>
      </w:pPr>
    </w:p>
    <w:p w14:paraId="71B26EA4" w14:textId="77777777" w:rsidR="00AD2DCA" w:rsidRPr="00EE3D94" w:rsidRDefault="00AD2DCA" w:rsidP="00AD2DCA">
      <w:pPr>
        <w:ind w:left="567" w:hanging="567"/>
        <w:jc w:val="both"/>
        <w:rPr>
          <w:lang w:val="es-ES_tradnl"/>
        </w:rPr>
      </w:pPr>
      <w:r w:rsidRPr="00EE3D94">
        <w:rPr>
          <w:lang w:val="es-ES_tradnl"/>
        </w:rPr>
        <w:lastRenderedPageBreak/>
        <w:t>Transparencia A.C. (2013)</w:t>
      </w:r>
      <w:r>
        <w:rPr>
          <w:lang w:val="es-ES_tradnl"/>
        </w:rPr>
        <w:t>.</w:t>
      </w:r>
      <w:r w:rsidRPr="00EE3D94">
        <w:rPr>
          <w:lang w:val="es-ES_tradnl"/>
        </w:rPr>
        <w:t xml:space="preserve"> </w:t>
      </w:r>
      <w:r w:rsidRPr="00EE3D94">
        <w:rPr>
          <w:i/>
          <w:lang w:val="es-ES_tradnl"/>
        </w:rPr>
        <w:t>Buenas Prácticas Parlamentarias en América Latina</w:t>
      </w:r>
      <w:r>
        <w:rPr>
          <w:lang w:val="es-ES_tradnl"/>
        </w:rPr>
        <w:t>.</w:t>
      </w:r>
      <w:r w:rsidRPr="00EE3D94">
        <w:rPr>
          <w:lang w:val="es-ES_tradnl"/>
        </w:rPr>
        <w:t xml:space="preserve"> Lima</w:t>
      </w:r>
      <w:r>
        <w:rPr>
          <w:lang w:val="es-ES_tradnl"/>
        </w:rPr>
        <w:t>, Perú</w:t>
      </w:r>
      <w:r w:rsidRPr="00EE3D94">
        <w:rPr>
          <w:lang w:val="es-ES_tradnl"/>
        </w:rPr>
        <w:t>: Transparencia A.C.</w:t>
      </w:r>
    </w:p>
    <w:p w14:paraId="7A40F14C" w14:textId="77777777" w:rsidR="00AD2DCA" w:rsidRDefault="00AD2DCA" w:rsidP="003D107D">
      <w:pPr>
        <w:ind w:left="567" w:hanging="567"/>
        <w:jc w:val="both"/>
        <w:rPr>
          <w:lang w:val="es-ES_tradnl"/>
        </w:rPr>
      </w:pPr>
    </w:p>
    <w:p w14:paraId="57D83AA3" w14:textId="6B1CEA2E" w:rsidR="00E204BA" w:rsidRPr="00EE3D94" w:rsidRDefault="00E204BA" w:rsidP="003D107D">
      <w:pPr>
        <w:ind w:left="567" w:hanging="567"/>
        <w:jc w:val="both"/>
        <w:rPr>
          <w:lang w:val="es-ES_tradnl"/>
        </w:rPr>
      </w:pPr>
      <w:r w:rsidRPr="00EE3D94">
        <w:rPr>
          <w:lang w:val="es-ES_tradnl"/>
        </w:rPr>
        <w:t xml:space="preserve">Valadés, </w:t>
      </w:r>
      <w:r w:rsidR="00DB69C5" w:rsidRPr="00EE3D94">
        <w:rPr>
          <w:lang w:val="es-ES_tradnl"/>
        </w:rPr>
        <w:t>D</w:t>
      </w:r>
      <w:r w:rsidR="00DB69C5">
        <w:rPr>
          <w:lang w:val="es-ES_tradnl"/>
        </w:rPr>
        <w:t>.</w:t>
      </w:r>
      <w:r w:rsidR="00DB69C5" w:rsidRPr="00EE3D94">
        <w:rPr>
          <w:lang w:val="es-ES_tradnl"/>
        </w:rPr>
        <w:t xml:space="preserve"> </w:t>
      </w:r>
      <w:r w:rsidRPr="00EE3D94">
        <w:rPr>
          <w:lang w:val="es-ES_tradnl"/>
        </w:rPr>
        <w:t>(2003)</w:t>
      </w:r>
      <w:r w:rsidR="00DB69C5">
        <w:rPr>
          <w:lang w:val="es-ES_tradnl"/>
        </w:rPr>
        <w:t>.</w:t>
      </w:r>
      <w:r w:rsidRPr="00EE3D94">
        <w:rPr>
          <w:lang w:val="es-ES_tradnl"/>
        </w:rPr>
        <w:t xml:space="preserve"> </w:t>
      </w:r>
      <w:r w:rsidR="002C2D83" w:rsidRPr="00EE3D94">
        <w:rPr>
          <w:i/>
          <w:lang w:val="es-ES_tradnl"/>
        </w:rPr>
        <w:t>El gobierno de Gabinete</w:t>
      </w:r>
      <w:r w:rsidR="00DB69C5">
        <w:rPr>
          <w:lang w:val="es-ES_tradnl"/>
        </w:rPr>
        <w:t>.</w:t>
      </w:r>
      <w:r w:rsidR="002C2D83" w:rsidRPr="00EE3D94">
        <w:rPr>
          <w:lang w:val="es-ES_tradnl"/>
        </w:rPr>
        <w:t xml:space="preserve"> </w:t>
      </w:r>
      <w:r w:rsidR="00DB69C5">
        <w:rPr>
          <w:lang w:val="es-ES_tradnl"/>
        </w:rPr>
        <w:t xml:space="preserve">Ciudad de </w:t>
      </w:r>
      <w:r w:rsidR="0024514B" w:rsidRPr="00EE3D94">
        <w:rPr>
          <w:lang w:val="es-ES_tradnl"/>
        </w:rPr>
        <w:t xml:space="preserve">México: </w:t>
      </w:r>
      <w:r w:rsidR="002C2D83" w:rsidRPr="00EE3D94">
        <w:rPr>
          <w:lang w:val="es-ES_tradnl"/>
        </w:rPr>
        <w:t>U</w:t>
      </w:r>
      <w:r w:rsidR="0024514B" w:rsidRPr="00EE3D94">
        <w:rPr>
          <w:lang w:val="es-ES_tradnl"/>
        </w:rPr>
        <w:t>NAM/I</w:t>
      </w:r>
      <w:r w:rsidR="00DB69C5">
        <w:rPr>
          <w:lang w:val="es-ES_tradnl"/>
        </w:rPr>
        <w:t xml:space="preserve">nstituto de </w:t>
      </w:r>
      <w:r w:rsidR="0024514B" w:rsidRPr="00EE3D94">
        <w:rPr>
          <w:lang w:val="es-ES_tradnl"/>
        </w:rPr>
        <w:t>I</w:t>
      </w:r>
      <w:r w:rsidR="00DB69C5">
        <w:rPr>
          <w:lang w:val="es-ES_tradnl"/>
        </w:rPr>
        <w:t xml:space="preserve">nvestigaciones </w:t>
      </w:r>
      <w:r w:rsidR="0024514B" w:rsidRPr="00EE3D94">
        <w:rPr>
          <w:lang w:val="es-ES_tradnl"/>
        </w:rPr>
        <w:t>J</w:t>
      </w:r>
      <w:r w:rsidR="00DB69C5">
        <w:rPr>
          <w:lang w:val="es-ES_tradnl"/>
        </w:rPr>
        <w:t>urídicas</w:t>
      </w:r>
      <w:r w:rsidR="002C2D83" w:rsidRPr="00EE3D94">
        <w:rPr>
          <w:lang w:val="es-ES_tradnl"/>
        </w:rPr>
        <w:t>.</w:t>
      </w:r>
    </w:p>
    <w:p w14:paraId="6CA29043" w14:textId="77777777" w:rsidR="00130951" w:rsidRPr="00EE3D94" w:rsidRDefault="00130951" w:rsidP="003D107D">
      <w:pPr>
        <w:ind w:left="567" w:hanging="567"/>
        <w:jc w:val="both"/>
        <w:rPr>
          <w:lang w:val="es-ES_tradnl"/>
        </w:rPr>
      </w:pPr>
    </w:p>
    <w:p w14:paraId="72BC830C" w14:textId="77777777" w:rsidR="00323CEA" w:rsidRPr="00EE3D94" w:rsidRDefault="00323CEA" w:rsidP="003D107D">
      <w:pPr>
        <w:ind w:left="567" w:hanging="567"/>
        <w:jc w:val="both"/>
        <w:rPr>
          <w:lang w:val="es-ES_tradnl"/>
        </w:rPr>
      </w:pPr>
    </w:p>
    <w:p w14:paraId="327AE735" w14:textId="4CEF9E5D" w:rsidR="00323CEA" w:rsidRPr="00EE3D94" w:rsidRDefault="00323CEA" w:rsidP="003D107D">
      <w:pPr>
        <w:ind w:left="567" w:hanging="567"/>
        <w:jc w:val="both"/>
        <w:rPr>
          <w:lang w:val="es-ES_tradnl"/>
        </w:rPr>
      </w:pPr>
      <w:r w:rsidRPr="00EE3D94">
        <w:rPr>
          <w:lang w:val="es-ES_tradnl"/>
        </w:rPr>
        <w:t xml:space="preserve">Zovatto, </w:t>
      </w:r>
      <w:r w:rsidR="00DB69C5" w:rsidRPr="00EE3D94">
        <w:rPr>
          <w:lang w:val="es-ES_tradnl"/>
        </w:rPr>
        <w:t>D</w:t>
      </w:r>
      <w:r w:rsidR="00DB69C5">
        <w:rPr>
          <w:lang w:val="es-ES_tradnl"/>
        </w:rPr>
        <w:t>.</w:t>
      </w:r>
      <w:r w:rsidR="00DB69C5" w:rsidRPr="00EE3D94">
        <w:rPr>
          <w:lang w:val="es-ES_tradnl"/>
        </w:rPr>
        <w:t xml:space="preserve"> </w:t>
      </w:r>
      <w:r w:rsidRPr="00EE3D94">
        <w:rPr>
          <w:lang w:val="es-ES_tradnl"/>
        </w:rPr>
        <w:t>(2014)</w:t>
      </w:r>
      <w:r w:rsidR="00DB69C5">
        <w:rPr>
          <w:lang w:val="es-ES_tradnl"/>
        </w:rPr>
        <w:t>.</w:t>
      </w:r>
      <w:r w:rsidRPr="00EE3D94">
        <w:rPr>
          <w:lang w:val="es-ES_tradnl"/>
        </w:rPr>
        <w:t xml:space="preserve"> Las instituciones de la democracia directa</w:t>
      </w:r>
      <w:r w:rsidR="00DB69C5">
        <w:rPr>
          <w:lang w:val="es-ES_tradnl"/>
        </w:rPr>
        <w:t>.</w:t>
      </w:r>
      <w:r w:rsidR="00DB69C5" w:rsidRPr="00EE3D94">
        <w:rPr>
          <w:lang w:val="es-ES_tradnl"/>
        </w:rPr>
        <w:t xml:space="preserve"> </w:t>
      </w:r>
      <w:r w:rsidR="00DB69C5">
        <w:rPr>
          <w:lang w:val="es-ES_tradnl"/>
        </w:rPr>
        <w:t>E</w:t>
      </w:r>
      <w:r w:rsidR="00DB69C5" w:rsidRPr="00EE3D94">
        <w:rPr>
          <w:lang w:val="es-ES_tradnl"/>
        </w:rPr>
        <w:t xml:space="preserve">n </w:t>
      </w:r>
      <w:r w:rsidRPr="00EE3D94">
        <w:rPr>
          <w:lang w:val="es-ES_tradnl"/>
        </w:rPr>
        <w:t>Lissidini, Welp y Zovatto (</w:t>
      </w:r>
      <w:r w:rsidR="00DB69C5">
        <w:rPr>
          <w:lang w:val="es-ES_tradnl"/>
        </w:rPr>
        <w:t>C</w:t>
      </w:r>
      <w:r w:rsidR="00DB69C5" w:rsidRPr="00EE3D94">
        <w:rPr>
          <w:lang w:val="es-ES_tradnl"/>
        </w:rPr>
        <w:t>omps</w:t>
      </w:r>
      <w:r w:rsidRPr="00EE3D94">
        <w:rPr>
          <w:lang w:val="es-ES_tradnl"/>
        </w:rPr>
        <w:t>.)</w:t>
      </w:r>
      <w:r w:rsidR="00DB69C5">
        <w:rPr>
          <w:lang w:val="es-ES_tradnl"/>
        </w:rPr>
        <w:t>.</w:t>
      </w:r>
      <w:r w:rsidRPr="00EE3D94">
        <w:rPr>
          <w:lang w:val="es-ES_tradnl"/>
        </w:rPr>
        <w:t xml:space="preserve"> </w:t>
      </w:r>
      <w:r w:rsidRPr="00EE3D94">
        <w:rPr>
          <w:i/>
          <w:lang w:val="es-ES_tradnl"/>
        </w:rPr>
        <w:t>Democracias en Movimiento. Mecanismos de democracia directa y participativa en América Latina</w:t>
      </w:r>
      <w:r w:rsidR="00DB69C5">
        <w:rPr>
          <w:i/>
          <w:lang w:val="es-ES_tradnl"/>
        </w:rPr>
        <w:t xml:space="preserve"> </w:t>
      </w:r>
      <w:r w:rsidR="00DB69C5">
        <w:rPr>
          <w:lang w:val="es-ES_tradnl"/>
        </w:rPr>
        <w:t>(pp. 13-70).</w:t>
      </w:r>
      <w:r w:rsidR="00DB69C5" w:rsidRPr="00EE3D94">
        <w:rPr>
          <w:lang w:val="es-ES_tradnl"/>
        </w:rPr>
        <w:t xml:space="preserve"> </w:t>
      </w:r>
      <w:r w:rsidR="00DB69C5">
        <w:rPr>
          <w:lang w:val="es-ES_tradnl"/>
        </w:rPr>
        <w:t xml:space="preserve">Ciudad de México, </w:t>
      </w:r>
      <w:r w:rsidR="00522688" w:rsidRPr="00EE3D94">
        <w:rPr>
          <w:lang w:val="es-ES_tradnl"/>
        </w:rPr>
        <w:t>México:</w:t>
      </w:r>
      <w:r w:rsidRPr="00EE3D94">
        <w:rPr>
          <w:lang w:val="es-ES_tradnl"/>
        </w:rPr>
        <w:t xml:space="preserve"> IIJ/IDEA/CIDD.</w:t>
      </w:r>
    </w:p>
    <w:p w14:paraId="44FC56E6" w14:textId="77777777" w:rsidR="00323CEA" w:rsidRPr="00EE3D94" w:rsidRDefault="00323CEA" w:rsidP="003D107D">
      <w:pPr>
        <w:ind w:left="567" w:hanging="567"/>
        <w:jc w:val="both"/>
        <w:rPr>
          <w:lang w:val="es-ES_tradnl"/>
        </w:rPr>
      </w:pPr>
    </w:p>
    <w:sectPr w:rsidR="00323CEA" w:rsidRPr="00EE3D94" w:rsidSect="004C7762">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D2EAF" w14:textId="77777777" w:rsidR="00236921" w:rsidRDefault="00236921" w:rsidP="00E3089D">
      <w:r>
        <w:separator/>
      </w:r>
    </w:p>
  </w:endnote>
  <w:endnote w:type="continuationSeparator" w:id="0">
    <w:p w14:paraId="015E03BB" w14:textId="77777777" w:rsidR="00236921" w:rsidRDefault="00236921" w:rsidP="00E3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D704" w14:textId="77777777" w:rsidR="00B66D0A" w:rsidRDefault="00B66D0A" w:rsidP="006735A7">
    <w:pPr>
      <w:pStyle w:val="Piedepgina"/>
      <w:jc w:val="center"/>
    </w:pPr>
  </w:p>
  <w:p w14:paraId="0E66A91C" w14:textId="29177CB1" w:rsidR="00B66D0A" w:rsidRPr="006735A7" w:rsidRDefault="00B66D0A" w:rsidP="006735A7">
    <w:pPr>
      <w:pStyle w:val="Piedepgina"/>
      <w:jc w:val="center"/>
      <w:rPr>
        <w:sz w:val="22"/>
      </w:rPr>
    </w:pPr>
    <w:r w:rsidRPr="006735A7">
      <w:rPr>
        <w:rFonts w:ascii="Calibri" w:hAnsi="Calibri" w:cs="Calibri"/>
        <w:b/>
        <w:bCs/>
        <w:sz w:val="22"/>
      </w:rPr>
      <w:t>Vol. 7, Núm. 13                   Enero – Junio 2018                           DOI:</w:t>
    </w:r>
    <w:r>
      <w:rPr>
        <w:rFonts w:ascii="Calibri" w:hAnsi="Calibri" w:cs="Calibri"/>
        <w:b/>
        <w:bCs/>
        <w:sz w:val="22"/>
      </w:rPr>
      <w:t xml:space="preserve"> </w:t>
    </w:r>
    <w:hyperlink r:id="rId1" w:history="1">
      <w:r w:rsidR="00754BF0" w:rsidRPr="00754BF0">
        <w:rPr>
          <w:rFonts w:ascii="Calibri" w:hAnsi="Calibri" w:cs="Calibri"/>
          <w:b/>
          <w:bCs/>
          <w:sz w:val="22"/>
        </w:rPr>
        <w:t>10.23913/ricsh.v7i13.141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CAC65" w14:textId="77777777" w:rsidR="00236921" w:rsidRDefault="00236921" w:rsidP="00E3089D">
      <w:r>
        <w:separator/>
      </w:r>
    </w:p>
  </w:footnote>
  <w:footnote w:type="continuationSeparator" w:id="0">
    <w:p w14:paraId="54EB2879" w14:textId="77777777" w:rsidR="00236921" w:rsidRDefault="00236921" w:rsidP="00E3089D">
      <w:r>
        <w:continuationSeparator/>
      </w:r>
    </w:p>
  </w:footnote>
  <w:footnote w:id="1">
    <w:p w14:paraId="01B685F0" w14:textId="127ADAEC" w:rsidR="00B66D0A" w:rsidRPr="00F84B32" w:rsidRDefault="00B66D0A" w:rsidP="00DD6D63">
      <w:pPr>
        <w:pStyle w:val="Textonotapie"/>
        <w:jc w:val="both"/>
      </w:pPr>
      <w:r w:rsidRPr="00F84B32">
        <w:rPr>
          <w:rStyle w:val="Refdenotaalpie"/>
        </w:rPr>
        <w:footnoteRef/>
      </w:r>
      <w:r w:rsidRPr="00F84B32">
        <w:t xml:space="preserve"> En el mismo sentido, </w:t>
      </w:r>
      <w:r>
        <w:t>se puede</w:t>
      </w:r>
      <w:r w:rsidRPr="00F84B32">
        <w:t xml:space="preserve"> relacionar la desconfianza de los ciudadanos latinoamericanos con sus parlamentos y su percepción sobre la representación</w:t>
      </w:r>
      <w:r>
        <w:t>.</w:t>
      </w:r>
      <w:r w:rsidRPr="00F84B32">
        <w:t xml:space="preserve"> </w:t>
      </w:r>
      <w:r>
        <w:t>E</w:t>
      </w:r>
      <w:r w:rsidRPr="00F84B32">
        <w:t>n el informe</w:t>
      </w:r>
      <w:r>
        <w:t>,</w:t>
      </w:r>
      <w:r w:rsidRPr="00F84B32">
        <w:t xml:space="preserve"> se menciona que a la pregunta </w:t>
      </w:r>
      <w:r>
        <w:t>sobre</w:t>
      </w:r>
      <w:r w:rsidRPr="00F84B32">
        <w:t xml:space="preserve"> si se sienten representados por sus congresos, la respuesta fue que 70</w:t>
      </w:r>
      <w:r>
        <w:t xml:space="preserve"> </w:t>
      </w:r>
      <w:r w:rsidRPr="00F84B32">
        <w:t xml:space="preserve">% de los latinoamericanos en promedio no se siente representado por sus congresos. </w:t>
      </w:r>
      <w:r>
        <w:t>Esto c</w:t>
      </w:r>
      <w:r w:rsidRPr="00F84B32">
        <w:t xml:space="preserve">oincide con la evaluación de los </w:t>
      </w:r>
      <w:r>
        <w:t>c</w:t>
      </w:r>
      <w:r w:rsidRPr="00F84B32">
        <w:t>ongresos</w:t>
      </w:r>
      <w:r>
        <w:t>.</w:t>
      </w:r>
      <w:r w:rsidRPr="00F84B32">
        <w:t xml:space="preserve"> Uruguay es el país que mejor representado se siente con 45</w:t>
      </w:r>
      <w:r>
        <w:t xml:space="preserve"> </w:t>
      </w:r>
      <w:r w:rsidRPr="00F84B32">
        <w:t>%; en el otro extremo se encuentran Perú con apenas 8</w:t>
      </w:r>
      <w:r>
        <w:t xml:space="preserve"> </w:t>
      </w:r>
      <w:r w:rsidRPr="00F84B32">
        <w:t>% de aceptación; Brasil 13</w:t>
      </w:r>
      <w:r>
        <w:t xml:space="preserve"> </w:t>
      </w:r>
      <w:r w:rsidRPr="00F84B32">
        <w:t xml:space="preserve">% y México 17 </w:t>
      </w:r>
      <w:r>
        <w:t>%</w:t>
      </w:r>
      <w:r w:rsidRPr="00F84B32">
        <w:t xml:space="preserve"> (Corporación latinobarómetro, 2015, 55</w:t>
      </w:r>
      <w:r>
        <w:t>,</w:t>
      </w:r>
      <w:r w:rsidRPr="00F84B32">
        <w:t xml:space="preserve"> 62).</w:t>
      </w:r>
    </w:p>
  </w:footnote>
  <w:footnote w:id="2">
    <w:p w14:paraId="0AAEC1FE" w14:textId="796CC0CE" w:rsidR="00B66D0A" w:rsidRPr="00F84B32" w:rsidRDefault="00B66D0A" w:rsidP="00DD6D63">
      <w:pPr>
        <w:pStyle w:val="Textonotapie"/>
        <w:jc w:val="both"/>
      </w:pPr>
      <w:r w:rsidRPr="00F84B32">
        <w:rPr>
          <w:rStyle w:val="Refdenotaalpie"/>
        </w:rPr>
        <w:footnoteRef/>
      </w:r>
      <w:r w:rsidRPr="00F84B32">
        <w:t xml:space="preserve"> Por ejemplo, en el mismo índice de percepción, el gobierno, o la figura presidencial tienen niveles de aprobación ligeramente superiores a los registrados por los congresos (Corporación latinobarómetro, 2015, 38</w:t>
      </w:r>
      <w:r>
        <w:t>-</w:t>
      </w:r>
      <w:r w:rsidRPr="00F84B32">
        <w:t>39).</w:t>
      </w:r>
    </w:p>
  </w:footnote>
  <w:footnote w:id="3">
    <w:p w14:paraId="6DE2A48A" w14:textId="57F604D7" w:rsidR="00B66D0A" w:rsidRPr="00F84B32" w:rsidRDefault="00B66D0A" w:rsidP="00DD6D63">
      <w:pPr>
        <w:pStyle w:val="Textonotapie"/>
        <w:jc w:val="both"/>
        <w:rPr>
          <w:lang w:val="es-ES"/>
        </w:rPr>
      </w:pPr>
      <w:r w:rsidRPr="00F84B32">
        <w:rPr>
          <w:rStyle w:val="Refdenotaalpie"/>
        </w:rPr>
        <w:footnoteRef/>
      </w:r>
      <w:r w:rsidRPr="00F84B32">
        <w:t xml:space="preserve"> </w:t>
      </w:r>
      <w:r w:rsidRPr="00F84B32">
        <w:rPr>
          <w:lang w:val="es-ES"/>
        </w:rPr>
        <w:t xml:space="preserve">Shedler (1999) y Ackerman (2004) coinciden en tres elementos básicos del </w:t>
      </w:r>
      <w:r w:rsidRPr="00F84B32">
        <w:rPr>
          <w:i/>
          <w:lang w:val="es-ES"/>
        </w:rPr>
        <w:t>accountability</w:t>
      </w:r>
      <w:r w:rsidRPr="00F84B32">
        <w:rPr>
          <w:lang w:val="es-ES"/>
        </w:rPr>
        <w:t xml:space="preserve">: a) </w:t>
      </w:r>
      <w:r w:rsidRPr="00F84B32">
        <w:rPr>
          <w:i/>
          <w:lang w:val="es-ES"/>
        </w:rPr>
        <w:t>answerability</w:t>
      </w:r>
      <w:r w:rsidRPr="00F84B32">
        <w:rPr>
          <w:lang w:val="es-ES"/>
        </w:rPr>
        <w:t xml:space="preserve">, b) </w:t>
      </w:r>
      <w:r w:rsidRPr="00F84B32">
        <w:rPr>
          <w:i/>
          <w:lang w:val="es-ES"/>
        </w:rPr>
        <w:t>receptiveness</w:t>
      </w:r>
      <w:r w:rsidRPr="00F84B32">
        <w:rPr>
          <w:lang w:val="es-ES"/>
        </w:rPr>
        <w:t xml:space="preserve"> y c) </w:t>
      </w:r>
      <w:r w:rsidRPr="00F84B32">
        <w:rPr>
          <w:i/>
          <w:lang w:val="es-ES"/>
        </w:rPr>
        <w:t>enforcement</w:t>
      </w:r>
      <w:r w:rsidRPr="00F84B32">
        <w:rPr>
          <w:lang w:val="es-ES"/>
        </w:rPr>
        <w:t xml:space="preserve">, es decir, transparencia, receptividad y sanción. </w:t>
      </w:r>
      <w:r>
        <w:rPr>
          <w:lang w:val="es-ES"/>
        </w:rPr>
        <w:t>La t</w:t>
      </w:r>
      <w:r w:rsidRPr="00F84B32">
        <w:rPr>
          <w:lang w:val="es-ES"/>
        </w:rPr>
        <w:t xml:space="preserve">ransparencia </w:t>
      </w:r>
      <w:r>
        <w:rPr>
          <w:lang w:val="es-ES"/>
        </w:rPr>
        <w:t>es</w:t>
      </w:r>
      <w:r w:rsidRPr="00F84B32">
        <w:rPr>
          <w:lang w:val="es-ES"/>
        </w:rPr>
        <w:t xml:space="preserve"> el derecho de exigir que se informe sobre las decisiones del gobierno, además de explicar o justificar las razones de la decisión. La receptividad es la capacidad de incluir en los procesos de decisión, las opiniones o deliberaciones ciudadanas. Finalmente, sancionar es la posibilidad que tienen los ciudadanos de castigar la actuación correcta e incorrecta de los gobiernos electos, que puede ir desde no ser reelecto en la siguiente elección hasta la revocación del mandato.</w:t>
      </w:r>
    </w:p>
  </w:footnote>
  <w:footnote w:id="4">
    <w:p w14:paraId="3308C23A" w14:textId="5AEB074A" w:rsidR="00B66D0A" w:rsidRPr="00F84B32" w:rsidRDefault="00B66D0A" w:rsidP="009E422A">
      <w:pPr>
        <w:jc w:val="both"/>
        <w:rPr>
          <w:sz w:val="20"/>
          <w:szCs w:val="20"/>
          <w:lang w:val="es-MX"/>
        </w:rPr>
      </w:pPr>
      <w:r w:rsidRPr="00F84B32">
        <w:rPr>
          <w:rStyle w:val="Refdenotaalpie"/>
          <w:sz w:val="20"/>
          <w:szCs w:val="20"/>
        </w:rPr>
        <w:footnoteRef/>
      </w:r>
      <w:r w:rsidRPr="00F84B32">
        <w:rPr>
          <w:sz w:val="20"/>
          <w:szCs w:val="20"/>
          <w:lang w:val="es-MX"/>
        </w:rPr>
        <w:t xml:space="preserve"> </w:t>
      </w:r>
      <w:r w:rsidRPr="00F84B32">
        <w:rPr>
          <w:sz w:val="20"/>
          <w:szCs w:val="20"/>
          <w:lang w:val="es-ES"/>
        </w:rPr>
        <w:t xml:space="preserve">En un estudio muy documentado, los autores Casar </w:t>
      </w:r>
      <w:r w:rsidRPr="006735A7">
        <w:rPr>
          <w:i/>
          <w:sz w:val="20"/>
          <w:szCs w:val="20"/>
          <w:lang w:val="es-ES"/>
        </w:rPr>
        <w:t>et al.</w:t>
      </w:r>
      <w:r w:rsidRPr="00F84B32">
        <w:rPr>
          <w:sz w:val="20"/>
          <w:szCs w:val="20"/>
          <w:lang w:val="es-ES"/>
        </w:rPr>
        <w:t xml:space="preserve"> </w:t>
      </w:r>
      <w:r>
        <w:rPr>
          <w:sz w:val="20"/>
          <w:szCs w:val="20"/>
          <w:lang w:val="es-ES"/>
        </w:rPr>
        <w:t>(</w:t>
      </w:r>
      <w:r w:rsidRPr="00F84B32">
        <w:rPr>
          <w:sz w:val="20"/>
          <w:szCs w:val="20"/>
          <w:lang w:val="es-ES"/>
        </w:rPr>
        <w:t xml:space="preserve">2010) evalúan la rendición de cuentas horizontal en el caso mexicano, identifican las normas y reglas que integran el conjunto del sistema de pesos y contrapesos en el sistema político mexicano. </w:t>
      </w:r>
    </w:p>
    <w:p w14:paraId="2ACF27AA" w14:textId="618D3B97" w:rsidR="00B66D0A" w:rsidRPr="00F84B32" w:rsidRDefault="00B66D0A" w:rsidP="00DD6D63">
      <w:pPr>
        <w:pStyle w:val="Textonotapie"/>
        <w:jc w:val="both"/>
        <w:rPr>
          <w:lang w:val="es-ES"/>
        </w:rPr>
      </w:pPr>
    </w:p>
  </w:footnote>
  <w:footnote w:id="5">
    <w:p w14:paraId="5E6072B1" w14:textId="6F559E90" w:rsidR="00B66D0A" w:rsidRPr="00F84B32" w:rsidRDefault="00B66D0A" w:rsidP="00DD6D63">
      <w:pPr>
        <w:pStyle w:val="Textonotapie"/>
        <w:jc w:val="both"/>
      </w:pPr>
      <w:r w:rsidRPr="00F84B32">
        <w:rPr>
          <w:rStyle w:val="Refdenotaalpie"/>
        </w:rPr>
        <w:footnoteRef/>
      </w:r>
      <w:r w:rsidRPr="00F84B32">
        <w:t xml:space="preserve"> La ausencia de consecuencias materiales del </w:t>
      </w:r>
      <w:r w:rsidRPr="00F84B32">
        <w:rPr>
          <w:i/>
        </w:rPr>
        <w:t>accountability</w:t>
      </w:r>
      <w:r w:rsidRPr="00F84B32">
        <w:t xml:space="preserve"> social no implica la ausencia de sanciones</w:t>
      </w:r>
      <w:r>
        <w:t>.</w:t>
      </w:r>
      <w:r w:rsidRPr="00F84B32">
        <w:t xml:space="preserve"> </w:t>
      </w:r>
      <w:r>
        <w:t>E</w:t>
      </w:r>
      <w:r w:rsidRPr="00F84B32">
        <w:t>stas se traducen en control social en la medida en la que llegan a tener consecuencias de reputación, impacto en la opinión pública; activación de mecanismos como las comisiones de investigación de justicia en los Congresos; exponen y denuncian actos ilegales señalando las fallas de la rendición de cuentas horizontal; ejercen control sobre los temas y amplían el alcance de la agenda; activan procedimientos judiciales; accionan organizaciones de supervisión y monitoreo como el establecimiento de organizaciones paralelas de vigilancia social (Peruzzotti y Smulovitz, 2002).</w:t>
      </w:r>
    </w:p>
  </w:footnote>
  <w:footnote w:id="6">
    <w:p w14:paraId="68315D07" w14:textId="25BB7231" w:rsidR="00B66D0A" w:rsidRPr="00F84B32" w:rsidRDefault="00B66D0A" w:rsidP="00DD6D63">
      <w:pPr>
        <w:pStyle w:val="Cuerpo"/>
        <w:spacing w:before="120" w:after="120"/>
        <w:jc w:val="both"/>
        <w:rPr>
          <w:rFonts w:hAnsi="Times New Roman" w:cs="Times New Roman"/>
          <w:sz w:val="20"/>
          <w:szCs w:val="20"/>
        </w:rPr>
      </w:pPr>
      <w:r w:rsidRPr="00F84B32">
        <w:rPr>
          <w:rStyle w:val="Refdenotaalpie"/>
          <w:rFonts w:hAnsi="Times New Roman" w:cs="Times New Roman"/>
          <w:sz w:val="20"/>
          <w:szCs w:val="20"/>
        </w:rPr>
        <w:footnoteRef/>
      </w:r>
      <w:r w:rsidRPr="00F84B32">
        <w:rPr>
          <w:rFonts w:hAnsi="Times New Roman" w:cs="Times New Roman"/>
          <w:sz w:val="20"/>
          <w:szCs w:val="20"/>
        </w:rPr>
        <w:t xml:space="preserve"> Respecto a este último elemento, </w:t>
      </w:r>
      <w:r w:rsidRPr="00F84B32">
        <w:rPr>
          <w:rFonts w:hAnsi="Times New Roman" w:cs="Times New Roman"/>
          <w:sz w:val="20"/>
          <w:szCs w:val="20"/>
          <w:lang w:val="es-ES"/>
        </w:rPr>
        <w:t xml:space="preserve">si bien </w:t>
      </w:r>
      <w:r w:rsidRPr="00F84B32">
        <w:rPr>
          <w:rFonts w:hAnsi="Times New Roman" w:cs="Times New Roman"/>
          <w:sz w:val="20"/>
          <w:szCs w:val="20"/>
        </w:rPr>
        <w:t>es cierto</w:t>
      </w:r>
      <w:r>
        <w:rPr>
          <w:rFonts w:hAnsi="Times New Roman" w:cs="Times New Roman"/>
          <w:sz w:val="20"/>
          <w:szCs w:val="20"/>
        </w:rPr>
        <w:t xml:space="preserve"> que</w:t>
      </w:r>
      <w:r w:rsidRPr="00F84B32">
        <w:rPr>
          <w:rFonts w:hAnsi="Times New Roman" w:cs="Times New Roman"/>
          <w:sz w:val="20"/>
          <w:szCs w:val="20"/>
        </w:rPr>
        <w:t xml:space="preserve"> el cabildeo ejercido por intereses específicos tiene la posibilidad de manipular las decisiones legislativas a favor de ciertos intereses, no solo puede ser ejercido por intereses específicos</w:t>
      </w:r>
      <w:r>
        <w:rPr>
          <w:rFonts w:hAnsi="Times New Roman" w:cs="Times New Roman"/>
          <w:sz w:val="20"/>
          <w:szCs w:val="20"/>
        </w:rPr>
        <w:t>;</w:t>
      </w:r>
      <w:r w:rsidRPr="00F84B32">
        <w:rPr>
          <w:rFonts w:hAnsi="Times New Roman" w:cs="Times New Roman"/>
          <w:sz w:val="20"/>
          <w:szCs w:val="20"/>
        </w:rPr>
        <w:t xml:space="preserve"> es necesario fomentar la participación de grupos profesionales y académicos especializados en temas que coadyuv</w:t>
      </w:r>
      <w:r>
        <w:rPr>
          <w:rFonts w:hAnsi="Times New Roman" w:cs="Times New Roman"/>
          <w:sz w:val="20"/>
          <w:szCs w:val="20"/>
        </w:rPr>
        <w:t>e</w:t>
      </w:r>
      <w:r w:rsidRPr="00F84B32">
        <w:rPr>
          <w:rFonts w:hAnsi="Times New Roman" w:cs="Times New Roman"/>
          <w:sz w:val="20"/>
          <w:szCs w:val="20"/>
        </w:rPr>
        <w:t xml:space="preserve">n con el flujo de información </w:t>
      </w:r>
      <w:r>
        <w:rPr>
          <w:rFonts w:hAnsi="Times New Roman" w:cs="Times New Roman"/>
          <w:sz w:val="20"/>
          <w:szCs w:val="20"/>
        </w:rPr>
        <w:t xml:space="preserve">de la </w:t>
      </w:r>
      <w:r w:rsidRPr="00F84B32">
        <w:rPr>
          <w:rFonts w:hAnsi="Times New Roman" w:cs="Times New Roman"/>
          <w:sz w:val="20"/>
          <w:szCs w:val="20"/>
        </w:rPr>
        <w:t>que pueden carecer los legisladores</w:t>
      </w:r>
      <w:r>
        <w:rPr>
          <w:rFonts w:hAnsi="Times New Roman" w:cs="Times New Roman"/>
          <w:sz w:val="20"/>
          <w:szCs w:val="20"/>
        </w:rPr>
        <w:t>.</w:t>
      </w:r>
      <w:r w:rsidRPr="00F84B32">
        <w:rPr>
          <w:rFonts w:hAnsi="Times New Roman" w:cs="Times New Roman"/>
          <w:sz w:val="20"/>
          <w:szCs w:val="20"/>
        </w:rPr>
        <w:t xml:space="preserve"> </w:t>
      </w:r>
      <w:r>
        <w:rPr>
          <w:rFonts w:hAnsi="Times New Roman" w:cs="Times New Roman"/>
          <w:sz w:val="20"/>
          <w:szCs w:val="20"/>
        </w:rPr>
        <w:t>D</w:t>
      </w:r>
      <w:r w:rsidRPr="00F84B32">
        <w:rPr>
          <w:rFonts w:hAnsi="Times New Roman" w:cs="Times New Roman"/>
          <w:sz w:val="20"/>
          <w:szCs w:val="20"/>
        </w:rPr>
        <w:t>ichos grupos pueden ser copartícipes de decisiones legislativas o</w:t>
      </w:r>
      <w:r>
        <w:rPr>
          <w:rFonts w:hAnsi="Times New Roman" w:cs="Times New Roman"/>
          <w:sz w:val="20"/>
          <w:szCs w:val="20"/>
        </w:rPr>
        <w:t>,</w:t>
      </w:r>
      <w:r w:rsidRPr="00F84B32">
        <w:rPr>
          <w:rFonts w:hAnsi="Times New Roman" w:cs="Times New Roman"/>
          <w:sz w:val="20"/>
          <w:szCs w:val="20"/>
        </w:rPr>
        <w:t xml:space="preserve"> por lo menos, sus posturas son consideradas en la agenda gubernamental, en el proceso legislativo, en el diseño de la política o en la evaluación de la misma. </w:t>
      </w:r>
    </w:p>
    <w:p w14:paraId="48CABF31" w14:textId="77777777" w:rsidR="00B66D0A" w:rsidRPr="00F84B32" w:rsidRDefault="00B66D0A" w:rsidP="00DD6D63">
      <w:pPr>
        <w:pStyle w:val="Textonotapie"/>
        <w:jc w:val="both"/>
        <w:rPr>
          <w:lang w:val="es-ES"/>
        </w:rPr>
      </w:pPr>
    </w:p>
  </w:footnote>
  <w:footnote w:id="7">
    <w:p w14:paraId="1D3EEE43" w14:textId="06AD6849" w:rsidR="00B66D0A" w:rsidRPr="00F84B32" w:rsidRDefault="00B66D0A" w:rsidP="00B33FB6">
      <w:pPr>
        <w:pStyle w:val="Textonotapie"/>
        <w:jc w:val="both"/>
        <w:rPr>
          <w:lang w:val="es-ES"/>
        </w:rPr>
      </w:pPr>
      <w:r w:rsidRPr="00F84B32">
        <w:rPr>
          <w:rStyle w:val="Refdenotaalpie"/>
        </w:rPr>
        <w:footnoteRef/>
      </w:r>
      <w:r w:rsidRPr="00F84B32">
        <w:t xml:space="preserve"> </w:t>
      </w:r>
      <w:r w:rsidRPr="00F84B32">
        <w:rPr>
          <w:lang w:val="es-ES"/>
        </w:rPr>
        <w:t>El objetivo de la evaluación de los Congresos es recomendar una serie de estándares mínimos de transparencia, buenas prácticas y la mejora de la imagen de la labor parlamentaria. La metodología del monitoreo ha tenido dos versiones, la primera en 2011 y la evaluación por promedio simple de cinco países (Argentina, Chile, Colombia, México y Perú); con la misma metodología en 2014</w:t>
      </w:r>
      <w:r>
        <w:rPr>
          <w:lang w:val="es-ES"/>
        </w:rPr>
        <w:t>,</w:t>
      </w:r>
      <w:r w:rsidRPr="00F84B32">
        <w:rPr>
          <w:lang w:val="es-ES"/>
        </w:rPr>
        <w:t xml:space="preserve"> se agrega</w:t>
      </w:r>
      <w:r>
        <w:rPr>
          <w:lang w:val="es-ES"/>
        </w:rPr>
        <w:t>ro</w:t>
      </w:r>
      <w:r w:rsidRPr="00F84B32">
        <w:rPr>
          <w:lang w:val="es-ES"/>
        </w:rPr>
        <w:t>n al seguimiento Bolivia, Ecuador, Guatemala, Venezuela y Uruguay, pero este último solo fue evaluado en una de las cuatro dimensiones propuestas. En la segunda versión</w:t>
      </w:r>
      <w:r>
        <w:rPr>
          <w:lang w:val="es-ES"/>
        </w:rPr>
        <w:t>,</w:t>
      </w:r>
      <w:r w:rsidRPr="00F84B32">
        <w:rPr>
          <w:lang w:val="es-ES"/>
        </w:rPr>
        <w:t xml:space="preserve"> de 2016, </w:t>
      </w:r>
      <w:r>
        <w:rPr>
          <w:lang w:val="es-ES"/>
        </w:rPr>
        <w:t>en la que</w:t>
      </w:r>
      <w:r w:rsidRPr="00F84B32">
        <w:rPr>
          <w:lang w:val="es-ES"/>
        </w:rPr>
        <w:t xml:space="preserve"> se adhi</w:t>
      </w:r>
      <w:r>
        <w:rPr>
          <w:lang w:val="es-ES"/>
        </w:rPr>
        <w:t>rieron</w:t>
      </w:r>
      <w:r w:rsidRPr="00F84B32">
        <w:rPr>
          <w:lang w:val="es-ES"/>
        </w:rPr>
        <w:t xml:space="preserve"> los congresos de Costa Rica, República Dominicana, Panamá, y Paraguay, se rediseñ</w:t>
      </w:r>
      <w:r>
        <w:rPr>
          <w:lang w:val="es-ES"/>
        </w:rPr>
        <w:t>ó</w:t>
      </w:r>
      <w:r w:rsidRPr="00F84B32">
        <w:rPr>
          <w:lang w:val="es-ES"/>
        </w:rPr>
        <w:t xml:space="preserve"> la metodología anterior para darle mayor precisión a las unidades de medida. En esta versión se implement</w:t>
      </w:r>
      <w:r>
        <w:rPr>
          <w:lang w:val="es-ES"/>
        </w:rPr>
        <w:t>ó</w:t>
      </w:r>
      <w:r w:rsidRPr="00F84B32">
        <w:rPr>
          <w:lang w:val="es-ES"/>
        </w:rPr>
        <w:t xml:space="preserve"> el método </w:t>
      </w:r>
      <w:r w:rsidRPr="00F84B32">
        <w:rPr>
          <w:i/>
          <w:lang w:val="es-ES"/>
        </w:rPr>
        <w:t>fuzzy set approach</w:t>
      </w:r>
      <w:r w:rsidRPr="00F84B32">
        <w:rPr>
          <w:lang w:val="es-ES"/>
        </w:rPr>
        <w:t xml:space="preserve"> utilizado para la medición de la pobreza relativa, pero los analistas adaptaron la medición a la transparencia en </w:t>
      </w:r>
      <w:r>
        <w:rPr>
          <w:lang w:val="es-ES"/>
        </w:rPr>
        <w:t>la que</w:t>
      </w:r>
      <w:r w:rsidRPr="00F84B32">
        <w:rPr>
          <w:lang w:val="es-ES"/>
        </w:rPr>
        <w:t xml:space="preserve"> se privilegia los rubros de mayor exclusión o menos transparencia de cada país, este movimiento aumenta la importancia del atributo de un indicador cuando al aplicar el índice se priorizan aquellos elementos en los que existe menos transparencia. Es decir, aquellos países que se alejan de la media tienen mayor importancia, por lo que determinados indicadores sobresalen en función del porcentaje obtenido en el déficit. (</w:t>
      </w:r>
      <w:r w:rsidRPr="00F84B32">
        <w:rPr>
          <w:i/>
          <w:lang w:val="es-ES"/>
        </w:rPr>
        <w:t>Metodología de cálculo del índice RLTL 2016</w:t>
      </w:r>
      <w:r w:rsidRPr="00F84B32">
        <w:rPr>
          <w:lang w:val="es-ES"/>
        </w:rPr>
        <w:t>)</w:t>
      </w:r>
      <w:r>
        <w:rPr>
          <w:lang w:val="es-ES"/>
        </w:rPr>
        <w:t>.</w:t>
      </w:r>
      <w:r w:rsidRPr="00F84B32">
        <w:rPr>
          <w:lang w:val="es-ES"/>
        </w:rPr>
        <w:t xml:space="preserve"> </w:t>
      </w:r>
    </w:p>
  </w:footnote>
  <w:footnote w:id="8">
    <w:p w14:paraId="28665AEA" w14:textId="3A5F97BB" w:rsidR="00B66D0A" w:rsidRPr="00F84B32" w:rsidRDefault="00B66D0A" w:rsidP="00954FFF">
      <w:pPr>
        <w:pStyle w:val="Textonotapie"/>
        <w:jc w:val="both"/>
        <w:rPr>
          <w:lang w:val="es-ES"/>
        </w:rPr>
      </w:pPr>
      <w:r w:rsidRPr="00F84B32">
        <w:rPr>
          <w:rStyle w:val="Refdenotaalpie"/>
        </w:rPr>
        <w:footnoteRef/>
      </w:r>
      <w:r w:rsidRPr="00F84B32">
        <w:t xml:space="preserve"> </w:t>
      </w:r>
      <w:r w:rsidRPr="00F84B32">
        <w:rPr>
          <w:lang w:val="es-ES"/>
        </w:rPr>
        <w:t>En México</w:t>
      </w:r>
      <w:r>
        <w:rPr>
          <w:lang w:val="es-ES"/>
        </w:rPr>
        <w:t>,</w:t>
      </w:r>
      <w:r w:rsidRPr="00F84B32">
        <w:rPr>
          <w:lang w:val="es-ES"/>
        </w:rPr>
        <w:t xml:space="preserve"> la oficina se localiza en el recinto del Congreso como comisión de gestoría y quejas. El uso del acceso de los ciudadanos mexicanos es importante</w:t>
      </w:r>
      <w:r>
        <w:rPr>
          <w:lang w:val="es-ES"/>
        </w:rPr>
        <w:t>.</w:t>
      </w:r>
      <w:r w:rsidRPr="00F84B32">
        <w:rPr>
          <w:lang w:val="es-ES"/>
        </w:rPr>
        <w:t xml:space="preserve"> </w:t>
      </w:r>
      <w:r>
        <w:rPr>
          <w:lang w:val="es-ES"/>
        </w:rPr>
        <w:t>D</w:t>
      </w:r>
      <w:r w:rsidRPr="00F84B32">
        <w:rPr>
          <w:lang w:val="es-ES"/>
        </w:rPr>
        <w:t xml:space="preserve">e acuerdo con las bitácoras de acceso de febrero a junio de 2010 se registraron 352 peticiones, 171 asuntos legislativos, 104 gestiones y recibieron a </w:t>
      </w:r>
      <w:r>
        <w:rPr>
          <w:lang w:val="es-ES"/>
        </w:rPr>
        <w:t>15</w:t>
      </w:r>
      <w:r w:rsidRPr="00F84B32">
        <w:rPr>
          <w:lang w:val="es-ES"/>
        </w:rPr>
        <w:t xml:space="preserve"> contingentes. Sin embargo, la bitácora registra los ingresos</w:t>
      </w:r>
      <w:r>
        <w:rPr>
          <w:lang w:val="es-ES"/>
        </w:rPr>
        <w:t>,</w:t>
      </w:r>
      <w:r w:rsidRPr="00F84B32">
        <w:rPr>
          <w:lang w:val="es-ES"/>
        </w:rPr>
        <w:t xml:space="preserve"> pero carece de información que d</w:t>
      </w:r>
      <w:r>
        <w:rPr>
          <w:lang w:val="es-ES"/>
        </w:rPr>
        <w:t>é</w:t>
      </w:r>
      <w:r w:rsidRPr="00F84B32">
        <w:rPr>
          <w:lang w:val="es-ES"/>
        </w:rPr>
        <w:t xml:space="preserve"> seguimiento de cada una de las demandas introducidas por los ciudadanos a dicho comité. </w:t>
      </w:r>
    </w:p>
  </w:footnote>
  <w:footnote w:id="9">
    <w:p w14:paraId="5EB9369A" w14:textId="2C5B83E7" w:rsidR="00B66D0A" w:rsidRPr="00F84B32" w:rsidRDefault="00B66D0A" w:rsidP="00C76582">
      <w:pPr>
        <w:pStyle w:val="Piedepgina"/>
        <w:jc w:val="both"/>
        <w:rPr>
          <w:sz w:val="20"/>
          <w:szCs w:val="20"/>
          <w:lang w:val="es-ES_tradnl"/>
        </w:rPr>
      </w:pPr>
      <w:r w:rsidRPr="00F84B32">
        <w:rPr>
          <w:rStyle w:val="Refdenotaalpie"/>
          <w:sz w:val="20"/>
          <w:szCs w:val="20"/>
        </w:rPr>
        <w:footnoteRef/>
      </w:r>
      <w:r w:rsidRPr="00F84B32">
        <w:rPr>
          <w:sz w:val="20"/>
          <w:szCs w:val="20"/>
        </w:rPr>
        <w:t xml:space="preserve"> </w:t>
      </w:r>
      <w:r w:rsidRPr="00F84B32">
        <w:rPr>
          <w:sz w:val="20"/>
          <w:szCs w:val="20"/>
          <w:lang w:val="es-ES_tradnl"/>
        </w:rPr>
        <w:t>Los países participantes en el índice de transparencia han variado</w:t>
      </w:r>
      <w:r>
        <w:rPr>
          <w:sz w:val="20"/>
          <w:szCs w:val="20"/>
          <w:lang w:val="es-ES_tradnl"/>
        </w:rPr>
        <w:t>.</w:t>
      </w:r>
      <w:r w:rsidRPr="00F84B32">
        <w:rPr>
          <w:sz w:val="20"/>
          <w:szCs w:val="20"/>
          <w:lang w:val="es-ES_tradnl"/>
        </w:rPr>
        <w:t xml:space="preserve"> </w:t>
      </w:r>
      <w:r>
        <w:rPr>
          <w:sz w:val="20"/>
          <w:szCs w:val="20"/>
          <w:lang w:val="es-ES_tradnl"/>
        </w:rPr>
        <w:t>E</w:t>
      </w:r>
      <w:r w:rsidRPr="00F84B32">
        <w:rPr>
          <w:sz w:val="20"/>
          <w:szCs w:val="20"/>
          <w:lang w:val="es-ES_tradnl"/>
        </w:rPr>
        <w:t>n 2014</w:t>
      </w:r>
      <w:r>
        <w:rPr>
          <w:sz w:val="20"/>
          <w:szCs w:val="20"/>
          <w:lang w:val="es-ES_tradnl"/>
        </w:rPr>
        <w:t>,</w:t>
      </w:r>
      <w:r w:rsidRPr="00F84B32">
        <w:rPr>
          <w:sz w:val="20"/>
          <w:szCs w:val="20"/>
          <w:lang w:val="es-ES_tradnl"/>
        </w:rPr>
        <w:t xml:space="preserve"> solo nueve naciones firmaron la </w:t>
      </w:r>
      <w:r w:rsidRPr="006735A7">
        <w:rPr>
          <w:i/>
          <w:sz w:val="20"/>
          <w:szCs w:val="20"/>
          <w:lang w:val="es-ES_tradnl"/>
        </w:rPr>
        <w:t xml:space="preserve">Declaración sobre </w:t>
      </w:r>
      <w:r>
        <w:rPr>
          <w:i/>
          <w:sz w:val="20"/>
          <w:szCs w:val="20"/>
          <w:lang w:val="es-ES_tradnl"/>
        </w:rPr>
        <w:t xml:space="preserve">la </w:t>
      </w:r>
      <w:r w:rsidRPr="006735A7">
        <w:rPr>
          <w:i/>
          <w:sz w:val="20"/>
          <w:szCs w:val="20"/>
          <w:lang w:val="es-ES_tradnl"/>
        </w:rPr>
        <w:t>Transparencia Parlamentaria</w:t>
      </w:r>
      <w:r w:rsidRPr="00F84B32">
        <w:rPr>
          <w:sz w:val="20"/>
          <w:szCs w:val="20"/>
          <w:lang w:val="es-ES_tradnl"/>
        </w:rPr>
        <w:t xml:space="preserve">. Para 2016, se adhirieron a la </w:t>
      </w:r>
      <w:r w:rsidRPr="006735A7">
        <w:rPr>
          <w:i/>
          <w:sz w:val="20"/>
          <w:szCs w:val="20"/>
          <w:lang w:val="es-ES_tradnl"/>
        </w:rPr>
        <w:t>Declaración</w:t>
      </w:r>
      <w:r w:rsidRPr="00F84B32">
        <w:rPr>
          <w:sz w:val="20"/>
          <w:szCs w:val="20"/>
          <w:lang w:val="es-ES_tradnl"/>
        </w:rPr>
        <w:t xml:space="preserve"> cuatro países de la región. Se espera la afiliación de otros Estados como Brasil, y algunos centroamericanos en los próximos años.</w:t>
      </w:r>
    </w:p>
    <w:p w14:paraId="735BAFEA" w14:textId="77777777" w:rsidR="00B66D0A" w:rsidRPr="00F84B32" w:rsidRDefault="00B66D0A" w:rsidP="00C76582">
      <w:pPr>
        <w:pStyle w:val="Textonotapie"/>
        <w:rPr>
          <w:lang w:val="es-ES"/>
        </w:rPr>
      </w:pPr>
    </w:p>
  </w:footnote>
  <w:footnote w:id="10">
    <w:p w14:paraId="0B1062DB" w14:textId="03A28BE8" w:rsidR="00B66D0A" w:rsidRPr="00F84B32" w:rsidRDefault="00B66D0A" w:rsidP="006735A7">
      <w:pPr>
        <w:pStyle w:val="Textonotapie"/>
        <w:jc w:val="both"/>
      </w:pPr>
      <w:r w:rsidRPr="00F84B32">
        <w:rPr>
          <w:rStyle w:val="Refdenotaalpie"/>
        </w:rPr>
        <w:footnoteRef/>
      </w:r>
      <w:r w:rsidRPr="00F84B32">
        <w:t xml:space="preserve"> Como se observa en </w:t>
      </w:r>
      <w:r>
        <w:t>la</w:t>
      </w:r>
      <w:r w:rsidRPr="00F84B32">
        <w:t xml:space="preserve"> gráfic</w:t>
      </w:r>
      <w:r>
        <w:t>a</w:t>
      </w:r>
      <w:r w:rsidRPr="00F84B32">
        <w:t xml:space="preserve"> 2, la diferencia entre el índice de 2014 y 2016 es tan limitada que se prefirió elaborar un promedio de ambos años</w:t>
      </w:r>
      <w:r>
        <w:t>.</w:t>
      </w:r>
      <w:r w:rsidRPr="00F84B32">
        <w:t xml:space="preserve"> </w:t>
      </w:r>
      <w:r>
        <w:t>P</w:t>
      </w:r>
      <w:r w:rsidRPr="00F84B32">
        <w:t>ara el caso de los indicadores, además</w:t>
      </w:r>
      <w:r>
        <w:t>,</w:t>
      </w:r>
      <w:r w:rsidRPr="00F84B32">
        <w:t xml:space="preserve"> el promedio permite un</w:t>
      </w:r>
      <w:r>
        <w:t>a</w:t>
      </w:r>
      <w:r w:rsidRPr="00F84B32">
        <w:t xml:space="preserve"> gráfic</w:t>
      </w:r>
      <w:r>
        <w:t>a</w:t>
      </w:r>
      <w:r w:rsidRPr="00F84B32">
        <w:t xml:space="preserve"> más representativ</w:t>
      </w:r>
      <w:r>
        <w:t>a</w:t>
      </w:r>
      <w:r w:rsidRPr="00F84B32">
        <w:t xml:space="preserve"> en </w:t>
      </w:r>
      <w:r>
        <w:t>la</w:t>
      </w:r>
      <w:r w:rsidRPr="00F84B32">
        <w:t xml:space="preserve"> que se incluya a aquellos países que no participaron en la evaluación de 2014.  </w:t>
      </w:r>
    </w:p>
  </w:footnote>
  <w:footnote w:id="11">
    <w:p w14:paraId="19A33063" w14:textId="55068B1A" w:rsidR="00B66D0A" w:rsidRPr="00F84B32" w:rsidRDefault="00B66D0A" w:rsidP="00DD6D63">
      <w:pPr>
        <w:pStyle w:val="Textonotapie"/>
        <w:jc w:val="both"/>
        <w:rPr>
          <w:lang w:val="es-MX"/>
        </w:rPr>
      </w:pPr>
      <w:r w:rsidRPr="00F84B32">
        <w:rPr>
          <w:rStyle w:val="Refdenotaalpie"/>
        </w:rPr>
        <w:footnoteRef/>
      </w:r>
      <w:r w:rsidRPr="00F84B32">
        <w:t xml:space="preserve"> </w:t>
      </w:r>
      <w:r w:rsidRPr="00F84B32">
        <w:rPr>
          <w:lang w:val="es-MX" w:bidi="si-LK"/>
        </w:rPr>
        <w:t>En México las propuestas de las leyes Anticorrupción en 2016 han sido a solicitud de los ciudadanos y discutidas en periodo extraordinario</w:t>
      </w:r>
      <w:r>
        <w:rPr>
          <w:lang w:val="es-MX" w:bidi="si-LK"/>
        </w:rPr>
        <w:t>,</w:t>
      </w:r>
      <w:r w:rsidRPr="00F84B32">
        <w:rPr>
          <w:lang w:val="es-MX" w:bidi="si-LK"/>
        </w:rPr>
        <w:t xml:space="preserve"> a pesar de que el instrumento no considera la consulta como una modalidad de agilización de la iniciativa.</w:t>
      </w:r>
    </w:p>
  </w:footnote>
  <w:footnote w:id="12">
    <w:p w14:paraId="6105F94C" w14:textId="7A18DC9D" w:rsidR="00B66D0A" w:rsidRPr="00F84B32" w:rsidRDefault="00B66D0A" w:rsidP="00DD6D63">
      <w:pPr>
        <w:pStyle w:val="Textonotapie"/>
        <w:jc w:val="both"/>
        <w:rPr>
          <w:lang w:val="es-ES"/>
        </w:rPr>
      </w:pPr>
      <w:r w:rsidRPr="00F84B32">
        <w:rPr>
          <w:rStyle w:val="Refdenotaalpie"/>
        </w:rPr>
        <w:footnoteRef/>
      </w:r>
      <w:r w:rsidRPr="00F84B32">
        <w:t xml:space="preserve"> </w:t>
      </w:r>
      <w:r w:rsidRPr="00F84B32">
        <w:rPr>
          <w:lang w:val="es-ES"/>
        </w:rPr>
        <w:t>Como se mencionó páginas arriba, solo Chile</w:t>
      </w:r>
      <w:r>
        <w:rPr>
          <w:lang w:val="es-ES"/>
        </w:rPr>
        <w:t>,</w:t>
      </w:r>
      <w:r w:rsidRPr="00F84B32">
        <w:rPr>
          <w:lang w:val="es-ES"/>
        </w:rPr>
        <w:t xml:space="preserve"> Perú y México cuentan con reglamentos para el cabildeo</w:t>
      </w:r>
      <w:r>
        <w:rPr>
          <w:lang w:val="es-ES"/>
        </w:rPr>
        <w:t>.</w:t>
      </w:r>
      <w:r w:rsidRPr="00F84B32">
        <w:rPr>
          <w:lang w:val="es-ES"/>
        </w:rPr>
        <w:t xml:space="preserve"> </w:t>
      </w:r>
      <w:r>
        <w:rPr>
          <w:lang w:val="es-ES"/>
        </w:rPr>
        <w:t>S</w:t>
      </w:r>
      <w:r w:rsidRPr="00F84B32">
        <w:rPr>
          <w:lang w:val="es-ES"/>
        </w:rPr>
        <w:t>in embargo</w:t>
      </w:r>
      <w:r>
        <w:rPr>
          <w:lang w:val="es-ES"/>
        </w:rPr>
        <w:t>,</w:t>
      </w:r>
      <w:r w:rsidRPr="00F84B32">
        <w:rPr>
          <w:lang w:val="es-ES"/>
        </w:rPr>
        <w:t xml:space="preserve"> la evaluación de los mismos destaca la ambigüedad de las normas en términos de su aportación e influencia en las decisiones legislativas. En México, el reglamento se aprueba en 2010 y</w:t>
      </w:r>
      <w:r>
        <w:rPr>
          <w:lang w:val="es-ES"/>
        </w:rPr>
        <w:t>,</w:t>
      </w:r>
      <w:r w:rsidRPr="00F84B32">
        <w:rPr>
          <w:lang w:val="es-ES"/>
        </w:rPr>
        <w:t xml:space="preserve"> a partir de ese momento</w:t>
      </w:r>
      <w:r>
        <w:rPr>
          <w:lang w:val="es-ES"/>
        </w:rPr>
        <w:t>,</w:t>
      </w:r>
      <w:r w:rsidRPr="00F84B32">
        <w:rPr>
          <w:lang w:val="es-ES"/>
        </w:rPr>
        <w:t xml:space="preserve"> se admiten abiertamente a grupos de cabildeo que se registran en u</w:t>
      </w:r>
      <w:r>
        <w:rPr>
          <w:lang w:val="es-ES"/>
        </w:rPr>
        <w:t>n</w:t>
      </w:r>
      <w:r w:rsidRPr="00F84B32">
        <w:rPr>
          <w:lang w:val="es-ES"/>
        </w:rPr>
        <w:t xml:space="preserve"> padrón abierto y accesible al público, además de que se acepta la integración de hasta 20 grupos de interés por cada comisión. En el padrón de 2010 se registraron 654 cabilderos</w:t>
      </w:r>
      <w:r>
        <w:rPr>
          <w:lang w:val="es-ES"/>
        </w:rPr>
        <w:t>,</w:t>
      </w:r>
      <w:r w:rsidRPr="00F84B32">
        <w:rPr>
          <w:lang w:val="es-ES"/>
        </w:rPr>
        <w:t xml:space="preserve"> y en el de 2012 solicitaron su admisión 513, de los cu</w:t>
      </w:r>
      <w:r>
        <w:rPr>
          <w:lang w:val="es-ES"/>
        </w:rPr>
        <w:t>a</w:t>
      </w:r>
      <w:r w:rsidRPr="00F84B32">
        <w:rPr>
          <w:lang w:val="es-ES"/>
        </w:rPr>
        <w:t>les en su mayoría representaban empresas privadas. A pesar de que el reglamento no les da ni voz ni voto en las comisiones, estas carecen de personal capacitado para las tareas espejo de cada comisión relacionada con los diversos ministerios, lo que supone una influencia evidente de parte de las empresas que cabildean entre los congresistas mexicanos.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194208"/>
      <w:docPartObj>
        <w:docPartGallery w:val="Page Numbers (Top of Page)"/>
        <w:docPartUnique/>
      </w:docPartObj>
    </w:sdtPr>
    <w:sdtEndPr/>
    <w:sdtContent>
      <w:p w14:paraId="798E09DB" w14:textId="6BAB4640" w:rsidR="00B66D0A" w:rsidRDefault="00B66D0A" w:rsidP="006735A7">
        <w:pPr>
          <w:pStyle w:val="Encabezado"/>
          <w:jc w:val="center"/>
        </w:pPr>
        <w:r>
          <w:rPr>
            <w:noProof/>
            <w:lang w:val="es-ES" w:eastAsia="es-ES"/>
          </w:rPr>
          <w:drawing>
            <wp:inline distT="0" distB="0" distL="0" distR="0" wp14:anchorId="24B2ED07" wp14:editId="7F3BEF0B">
              <wp:extent cx="5514975" cy="571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sdtContent>
  </w:sdt>
  <w:p w14:paraId="591D0779" w14:textId="77777777" w:rsidR="00B66D0A" w:rsidRDefault="00B66D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DE7"/>
    <w:multiLevelType w:val="hybridMultilevel"/>
    <w:tmpl w:val="49467FC8"/>
    <w:lvl w:ilvl="0" w:tplc="B57287A4">
      <w:start w:val="2"/>
      <w:numFmt w:val="bullet"/>
      <w:lvlText w:val="-"/>
      <w:lvlJc w:val="left"/>
      <w:pPr>
        <w:ind w:left="720" w:hanging="360"/>
      </w:pPr>
      <w:rPr>
        <w:rFonts w:ascii="Arial" w:eastAsia="Arial Unicode MS"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24B02CE"/>
    <w:multiLevelType w:val="hybridMultilevel"/>
    <w:tmpl w:val="2AA2DC5C"/>
    <w:lvl w:ilvl="0" w:tplc="4788C02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F61ADC"/>
    <w:multiLevelType w:val="hybridMultilevel"/>
    <w:tmpl w:val="5EB6018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9C46E3"/>
    <w:multiLevelType w:val="hybridMultilevel"/>
    <w:tmpl w:val="5158EC94"/>
    <w:lvl w:ilvl="0" w:tplc="CDFCDDFA">
      <w:start w:val="498"/>
      <w:numFmt w:val="bullet"/>
      <w:lvlText w:val=""/>
      <w:lvlJc w:val="left"/>
      <w:pPr>
        <w:ind w:left="720" w:hanging="360"/>
      </w:pPr>
      <w:rPr>
        <w:rFonts w:ascii="Symbol" w:eastAsia="Arial Unicode MS"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FE800CC"/>
    <w:multiLevelType w:val="hybridMultilevel"/>
    <w:tmpl w:val="99A01CA8"/>
    <w:lvl w:ilvl="0" w:tplc="BDEECC00">
      <w:numFmt w:val="bullet"/>
      <w:lvlText w:val=""/>
      <w:lvlJc w:val="left"/>
      <w:pPr>
        <w:ind w:left="720" w:hanging="360"/>
      </w:pPr>
      <w:rPr>
        <w:rFonts w:ascii="Symbol" w:eastAsia="Arial Unicode MS"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876555"/>
    <w:multiLevelType w:val="hybridMultilevel"/>
    <w:tmpl w:val="63E4AC5A"/>
    <w:lvl w:ilvl="0" w:tplc="0322B0E2">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6F9"/>
    <w:rsid w:val="00004658"/>
    <w:rsid w:val="00004A21"/>
    <w:rsid w:val="0001026B"/>
    <w:rsid w:val="00012A70"/>
    <w:rsid w:val="00013D97"/>
    <w:rsid w:val="0002033F"/>
    <w:rsid w:val="00020EC3"/>
    <w:rsid w:val="000332B6"/>
    <w:rsid w:val="0003393A"/>
    <w:rsid w:val="000359C7"/>
    <w:rsid w:val="00040C74"/>
    <w:rsid w:val="000430FE"/>
    <w:rsid w:val="00054907"/>
    <w:rsid w:val="0005584E"/>
    <w:rsid w:val="000603F2"/>
    <w:rsid w:val="0006569F"/>
    <w:rsid w:val="000713C9"/>
    <w:rsid w:val="00091F3D"/>
    <w:rsid w:val="00094C58"/>
    <w:rsid w:val="0009632D"/>
    <w:rsid w:val="000A158D"/>
    <w:rsid w:val="000A1B2D"/>
    <w:rsid w:val="000A2139"/>
    <w:rsid w:val="000A265C"/>
    <w:rsid w:val="000B0FA6"/>
    <w:rsid w:val="000B1D10"/>
    <w:rsid w:val="000C16EE"/>
    <w:rsid w:val="000C1C86"/>
    <w:rsid w:val="000C2A19"/>
    <w:rsid w:val="000D135F"/>
    <w:rsid w:val="000D1C5D"/>
    <w:rsid w:val="000D51A7"/>
    <w:rsid w:val="000E0935"/>
    <w:rsid w:val="000E50B1"/>
    <w:rsid w:val="000F1D91"/>
    <w:rsid w:val="000F5235"/>
    <w:rsid w:val="000F7F4B"/>
    <w:rsid w:val="00106148"/>
    <w:rsid w:val="00120E4D"/>
    <w:rsid w:val="00121180"/>
    <w:rsid w:val="00124111"/>
    <w:rsid w:val="001276DB"/>
    <w:rsid w:val="00130951"/>
    <w:rsid w:val="00136CCF"/>
    <w:rsid w:val="00144E2F"/>
    <w:rsid w:val="00145D59"/>
    <w:rsid w:val="001525C6"/>
    <w:rsid w:val="00155C7A"/>
    <w:rsid w:val="00156879"/>
    <w:rsid w:val="00163C87"/>
    <w:rsid w:val="00184652"/>
    <w:rsid w:val="00197FF3"/>
    <w:rsid w:val="001A2EB6"/>
    <w:rsid w:val="001A52E5"/>
    <w:rsid w:val="001B27C1"/>
    <w:rsid w:val="001C5F71"/>
    <w:rsid w:val="001D3240"/>
    <w:rsid w:val="001E79E6"/>
    <w:rsid w:val="001F4C4A"/>
    <w:rsid w:val="001F55D7"/>
    <w:rsid w:val="00207463"/>
    <w:rsid w:val="00223AE7"/>
    <w:rsid w:val="00225D12"/>
    <w:rsid w:val="00236921"/>
    <w:rsid w:val="0024514B"/>
    <w:rsid w:val="00245B0F"/>
    <w:rsid w:val="00253F4A"/>
    <w:rsid w:val="00263893"/>
    <w:rsid w:val="00274BA9"/>
    <w:rsid w:val="002857C9"/>
    <w:rsid w:val="002903C5"/>
    <w:rsid w:val="00294D47"/>
    <w:rsid w:val="002A2577"/>
    <w:rsid w:val="002A5360"/>
    <w:rsid w:val="002A72D1"/>
    <w:rsid w:val="002A7CE0"/>
    <w:rsid w:val="002A7FBD"/>
    <w:rsid w:val="002B21B4"/>
    <w:rsid w:val="002B5908"/>
    <w:rsid w:val="002B757D"/>
    <w:rsid w:val="002C1C2C"/>
    <w:rsid w:val="002C279A"/>
    <w:rsid w:val="002C2D83"/>
    <w:rsid w:val="002C5F85"/>
    <w:rsid w:val="002C7F2D"/>
    <w:rsid w:val="002D6E4A"/>
    <w:rsid w:val="002E0F22"/>
    <w:rsid w:val="002F02C3"/>
    <w:rsid w:val="002F4E6C"/>
    <w:rsid w:val="00300E0E"/>
    <w:rsid w:val="00303221"/>
    <w:rsid w:val="00311C8C"/>
    <w:rsid w:val="003154DE"/>
    <w:rsid w:val="00323555"/>
    <w:rsid w:val="00323CEA"/>
    <w:rsid w:val="003267AC"/>
    <w:rsid w:val="00327918"/>
    <w:rsid w:val="00333872"/>
    <w:rsid w:val="003339E4"/>
    <w:rsid w:val="00335311"/>
    <w:rsid w:val="003373C1"/>
    <w:rsid w:val="003408B8"/>
    <w:rsid w:val="0034130A"/>
    <w:rsid w:val="0034168C"/>
    <w:rsid w:val="00347A91"/>
    <w:rsid w:val="0035085D"/>
    <w:rsid w:val="0035758E"/>
    <w:rsid w:val="0036535C"/>
    <w:rsid w:val="003714DC"/>
    <w:rsid w:val="00375237"/>
    <w:rsid w:val="00376C64"/>
    <w:rsid w:val="00385EE0"/>
    <w:rsid w:val="00386574"/>
    <w:rsid w:val="003956F9"/>
    <w:rsid w:val="003A13D3"/>
    <w:rsid w:val="003A251B"/>
    <w:rsid w:val="003B31DF"/>
    <w:rsid w:val="003B48DC"/>
    <w:rsid w:val="003B55C5"/>
    <w:rsid w:val="003D107D"/>
    <w:rsid w:val="003D30E5"/>
    <w:rsid w:val="003D3573"/>
    <w:rsid w:val="003D53D0"/>
    <w:rsid w:val="003E2FF2"/>
    <w:rsid w:val="003E517C"/>
    <w:rsid w:val="003E5C7C"/>
    <w:rsid w:val="003E5E41"/>
    <w:rsid w:val="003F52DA"/>
    <w:rsid w:val="003F7848"/>
    <w:rsid w:val="00401330"/>
    <w:rsid w:val="00406EAB"/>
    <w:rsid w:val="00412B5A"/>
    <w:rsid w:val="0042030D"/>
    <w:rsid w:val="00424401"/>
    <w:rsid w:val="0042517B"/>
    <w:rsid w:val="00430A30"/>
    <w:rsid w:val="00432770"/>
    <w:rsid w:val="0043719C"/>
    <w:rsid w:val="00444E80"/>
    <w:rsid w:val="0044523D"/>
    <w:rsid w:val="004476D8"/>
    <w:rsid w:val="00457517"/>
    <w:rsid w:val="0046497E"/>
    <w:rsid w:val="00466B00"/>
    <w:rsid w:val="00471719"/>
    <w:rsid w:val="00476DAC"/>
    <w:rsid w:val="004829C7"/>
    <w:rsid w:val="00482DD1"/>
    <w:rsid w:val="004874B4"/>
    <w:rsid w:val="0049457A"/>
    <w:rsid w:val="004A2AE6"/>
    <w:rsid w:val="004A3738"/>
    <w:rsid w:val="004B2FF2"/>
    <w:rsid w:val="004B411B"/>
    <w:rsid w:val="004B7659"/>
    <w:rsid w:val="004C7762"/>
    <w:rsid w:val="004D2187"/>
    <w:rsid w:val="004D37D6"/>
    <w:rsid w:val="004D4A04"/>
    <w:rsid w:val="004F6202"/>
    <w:rsid w:val="00506AEF"/>
    <w:rsid w:val="00506C73"/>
    <w:rsid w:val="0051115E"/>
    <w:rsid w:val="00514C24"/>
    <w:rsid w:val="00517790"/>
    <w:rsid w:val="00522688"/>
    <w:rsid w:val="00524E4B"/>
    <w:rsid w:val="0052533E"/>
    <w:rsid w:val="00527902"/>
    <w:rsid w:val="00533E20"/>
    <w:rsid w:val="00546C29"/>
    <w:rsid w:val="005476AC"/>
    <w:rsid w:val="00557BCD"/>
    <w:rsid w:val="00562C14"/>
    <w:rsid w:val="00580B95"/>
    <w:rsid w:val="00584EA2"/>
    <w:rsid w:val="005910D6"/>
    <w:rsid w:val="00595069"/>
    <w:rsid w:val="005968B4"/>
    <w:rsid w:val="005A3938"/>
    <w:rsid w:val="005A3AF6"/>
    <w:rsid w:val="005B530E"/>
    <w:rsid w:val="005B7FD1"/>
    <w:rsid w:val="005C0421"/>
    <w:rsid w:val="005C070A"/>
    <w:rsid w:val="005D0185"/>
    <w:rsid w:val="005D0A62"/>
    <w:rsid w:val="005D69CF"/>
    <w:rsid w:val="005E0DD3"/>
    <w:rsid w:val="005E4720"/>
    <w:rsid w:val="00602E68"/>
    <w:rsid w:val="00604DC9"/>
    <w:rsid w:val="00615643"/>
    <w:rsid w:val="006208E5"/>
    <w:rsid w:val="006217AB"/>
    <w:rsid w:val="00622535"/>
    <w:rsid w:val="00624EB5"/>
    <w:rsid w:val="00626A39"/>
    <w:rsid w:val="00631D60"/>
    <w:rsid w:val="00636258"/>
    <w:rsid w:val="00640FA2"/>
    <w:rsid w:val="00641A8F"/>
    <w:rsid w:val="00641F69"/>
    <w:rsid w:val="00650EC0"/>
    <w:rsid w:val="006512E1"/>
    <w:rsid w:val="006646F9"/>
    <w:rsid w:val="0067016D"/>
    <w:rsid w:val="006735A7"/>
    <w:rsid w:val="006827FF"/>
    <w:rsid w:val="0068504A"/>
    <w:rsid w:val="006854E2"/>
    <w:rsid w:val="00696C05"/>
    <w:rsid w:val="00696C52"/>
    <w:rsid w:val="00696F26"/>
    <w:rsid w:val="006B1611"/>
    <w:rsid w:val="006C10BE"/>
    <w:rsid w:val="006C494B"/>
    <w:rsid w:val="006C5DC5"/>
    <w:rsid w:val="006C78D2"/>
    <w:rsid w:val="006C7DB2"/>
    <w:rsid w:val="006D0707"/>
    <w:rsid w:val="006D5AD3"/>
    <w:rsid w:val="006E3F60"/>
    <w:rsid w:val="006E573F"/>
    <w:rsid w:val="006E647B"/>
    <w:rsid w:val="006E6DF6"/>
    <w:rsid w:val="006F3C90"/>
    <w:rsid w:val="006F6066"/>
    <w:rsid w:val="007033DF"/>
    <w:rsid w:val="007040A0"/>
    <w:rsid w:val="00715D55"/>
    <w:rsid w:val="00716C53"/>
    <w:rsid w:val="00722201"/>
    <w:rsid w:val="00731ECD"/>
    <w:rsid w:val="00741221"/>
    <w:rsid w:val="00754BF0"/>
    <w:rsid w:val="00760B6B"/>
    <w:rsid w:val="00762E35"/>
    <w:rsid w:val="007656C2"/>
    <w:rsid w:val="007669FF"/>
    <w:rsid w:val="00767227"/>
    <w:rsid w:val="007675BD"/>
    <w:rsid w:val="00776EC4"/>
    <w:rsid w:val="00785CDB"/>
    <w:rsid w:val="007919D7"/>
    <w:rsid w:val="00793082"/>
    <w:rsid w:val="00795701"/>
    <w:rsid w:val="007C00D7"/>
    <w:rsid w:val="007C251D"/>
    <w:rsid w:val="007C475F"/>
    <w:rsid w:val="007E1E49"/>
    <w:rsid w:val="007E1FDC"/>
    <w:rsid w:val="007E2AD3"/>
    <w:rsid w:val="007E3D17"/>
    <w:rsid w:val="007E4949"/>
    <w:rsid w:val="007F44D8"/>
    <w:rsid w:val="00800168"/>
    <w:rsid w:val="008022E1"/>
    <w:rsid w:val="00804A91"/>
    <w:rsid w:val="00806E94"/>
    <w:rsid w:val="008307F5"/>
    <w:rsid w:val="008354CD"/>
    <w:rsid w:val="0084137A"/>
    <w:rsid w:val="008415FC"/>
    <w:rsid w:val="008461D0"/>
    <w:rsid w:val="008542C7"/>
    <w:rsid w:val="008564F3"/>
    <w:rsid w:val="0087149F"/>
    <w:rsid w:val="00876E35"/>
    <w:rsid w:val="00882048"/>
    <w:rsid w:val="0088427B"/>
    <w:rsid w:val="008A2D43"/>
    <w:rsid w:val="008A48F7"/>
    <w:rsid w:val="008A6B9F"/>
    <w:rsid w:val="008C12A8"/>
    <w:rsid w:val="008C2542"/>
    <w:rsid w:val="008D3475"/>
    <w:rsid w:val="008D3C4D"/>
    <w:rsid w:val="008F2FCE"/>
    <w:rsid w:val="00901750"/>
    <w:rsid w:val="00903E1F"/>
    <w:rsid w:val="00907ED2"/>
    <w:rsid w:val="009236B9"/>
    <w:rsid w:val="00932CDA"/>
    <w:rsid w:val="00954DFB"/>
    <w:rsid w:val="00954FFF"/>
    <w:rsid w:val="00963238"/>
    <w:rsid w:val="0096432B"/>
    <w:rsid w:val="00967963"/>
    <w:rsid w:val="00973FA7"/>
    <w:rsid w:val="00975A3B"/>
    <w:rsid w:val="0097789A"/>
    <w:rsid w:val="009824D1"/>
    <w:rsid w:val="00987FF3"/>
    <w:rsid w:val="009A5B24"/>
    <w:rsid w:val="009B7DC3"/>
    <w:rsid w:val="009C2131"/>
    <w:rsid w:val="009C6465"/>
    <w:rsid w:val="009C72CC"/>
    <w:rsid w:val="009D20B0"/>
    <w:rsid w:val="009D4EDE"/>
    <w:rsid w:val="009E3349"/>
    <w:rsid w:val="009E37A9"/>
    <w:rsid w:val="009E422A"/>
    <w:rsid w:val="009E73A1"/>
    <w:rsid w:val="009E76B5"/>
    <w:rsid w:val="009F1978"/>
    <w:rsid w:val="009F224C"/>
    <w:rsid w:val="009F3EA2"/>
    <w:rsid w:val="009F5072"/>
    <w:rsid w:val="00A16659"/>
    <w:rsid w:val="00A26CC1"/>
    <w:rsid w:val="00A270EE"/>
    <w:rsid w:val="00A32A5D"/>
    <w:rsid w:val="00A332F3"/>
    <w:rsid w:val="00A347B6"/>
    <w:rsid w:val="00A35727"/>
    <w:rsid w:val="00A472BB"/>
    <w:rsid w:val="00A5711B"/>
    <w:rsid w:val="00A5721C"/>
    <w:rsid w:val="00A57AB2"/>
    <w:rsid w:val="00A62F7F"/>
    <w:rsid w:val="00A65AA3"/>
    <w:rsid w:val="00A750B9"/>
    <w:rsid w:val="00A75213"/>
    <w:rsid w:val="00A8206D"/>
    <w:rsid w:val="00A87E07"/>
    <w:rsid w:val="00A87EA1"/>
    <w:rsid w:val="00A939D0"/>
    <w:rsid w:val="00AA003B"/>
    <w:rsid w:val="00AB0375"/>
    <w:rsid w:val="00AB0397"/>
    <w:rsid w:val="00AB46EC"/>
    <w:rsid w:val="00AB4D8A"/>
    <w:rsid w:val="00AC226B"/>
    <w:rsid w:val="00AD2DCA"/>
    <w:rsid w:val="00AD4E0D"/>
    <w:rsid w:val="00AD59DF"/>
    <w:rsid w:val="00AD64B1"/>
    <w:rsid w:val="00AE2AD2"/>
    <w:rsid w:val="00AE3727"/>
    <w:rsid w:val="00AE43C4"/>
    <w:rsid w:val="00AE6AD4"/>
    <w:rsid w:val="00AF0FEB"/>
    <w:rsid w:val="00AF3F1E"/>
    <w:rsid w:val="00AF4764"/>
    <w:rsid w:val="00AF64AB"/>
    <w:rsid w:val="00AF6E64"/>
    <w:rsid w:val="00B10474"/>
    <w:rsid w:val="00B11E45"/>
    <w:rsid w:val="00B13AC6"/>
    <w:rsid w:val="00B14D16"/>
    <w:rsid w:val="00B16A4C"/>
    <w:rsid w:val="00B17F92"/>
    <w:rsid w:val="00B22152"/>
    <w:rsid w:val="00B31FDD"/>
    <w:rsid w:val="00B328B9"/>
    <w:rsid w:val="00B33FB6"/>
    <w:rsid w:val="00B37A7E"/>
    <w:rsid w:val="00B45245"/>
    <w:rsid w:val="00B45603"/>
    <w:rsid w:val="00B5112F"/>
    <w:rsid w:val="00B54070"/>
    <w:rsid w:val="00B5410F"/>
    <w:rsid w:val="00B551D3"/>
    <w:rsid w:val="00B57B25"/>
    <w:rsid w:val="00B66D0A"/>
    <w:rsid w:val="00B86A53"/>
    <w:rsid w:val="00B94D68"/>
    <w:rsid w:val="00B9739B"/>
    <w:rsid w:val="00BA0667"/>
    <w:rsid w:val="00BA4FAB"/>
    <w:rsid w:val="00BB1556"/>
    <w:rsid w:val="00BB391B"/>
    <w:rsid w:val="00BC77E1"/>
    <w:rsid w:val="00BD0F61"/>
    <w:rsid w:val="00BD28EF"/>
    <w:rsid w:val="00BD3012"/>
    <w:rsid w:val="00BD45D3"/>
    <w:rsid w:val="00BD7D25"/>
    <w:rsid w:val="00BE381B"/>
    <w:rsid w:val="00BE455C"/>
    <w:rsid w:val="00BE5B3F"/>
    <w:rsid w:val="00C10CC2"/>
    <w:rsid w:val="00C116EE"/>
    <w:rsid w:val="00C122A3"/>
    <w:rsid w:val="00C15941"/>
    <w:rsid w:val="00C242CB"/>
    <w:rsid w:val="00C36FA9"/>
    <w:rsid w:val="00C40C2D"/>
    <w:rsid w:val="00C55362"/>
    <w:rsid w:val="00C5666F"/>
    <w:rsid w:val="00C604E8"/>
    <w:rsid w:val="00C654A2"/>
    <w:rsid w:val="00C65BF1"/>
    <w:rsid w:val="00C711B2"/>
    <w:rsid w:val="00C76582"/>
    <w:rsid w:val="00C819FB"/>
    <w:rsid w:val="00C8305E"/>
    <w:rsid w:val="00C859F0"/>
    <w:rsid w:val="00CA1650"/>
    <w:rsid w:val="00CA5FD9"/>
    <w:rsid w:val="00CB1CAB"/>
    <w:rsid w:val="00CD07D8"/>
    <w:rsid w:val="00CD533E"/>
    <w:rsid w:val="00CE0198"/>
    <w:rsid w:val="00CE4572"/>
    <w:rsid w:val="00CE45C8"/>
    <w:rsid w:val="00CF1900"/>
    <w:rsid w:val="00CF192A"/>
    <w:rsid w:val="00CF27B8"/>
    <w:rsid w:val="00CF5FEB"/>
    <w:rsid w:val="00D12976"/>
    <w:rsid w:val="00D13B4D"/>
    <w:rsid w:val="00D143AF"/>
    <w:rsid w:val="00D17A23"/>
    <w:rsid w:val="00D237C4"/>
    <w:rsid w:val="00D25280"/>
    <w:rsid w:val="00D41DFF"/>
    <w:rsid w:val="00D42815"/>
    <w:rsid w:val="00D46926"/>
    <w:rsid w:val="00D46FE0"/>
    <w:rsid w:val="00D5204F"/>
    <w:rsid w:val="00D5582F"/>
    <w:rsid w:val="00D560C0"/>
    <w:rsid w:val="00D568A9"/>
    <w:rsid w:val="00D60D72"/>
    <w:rsid w:val="00D653A6"/>
    <w:rsid w:val="00D702A9"/>
    <w:rsid w:val="00D7071B"/>
    <w:rsid w:val="00D7148D"/>
    <w:rsid w:val="00D72B16"/>
    <w:rsid w:val="00D82605"/>
    <w:rsid w:val="00D8392A"/>
    <w:rsid w:val="00D84892"/>
    <w:rsid w:val="00D93506"/>
    <w:rsid w:val="00DB0E77"/>
    <w:rsid w:val="00DB6171"/>
    <w:rsid w:val="00DB69C5"/>
    <w:rsid w:val="00DB7E1C"/>
    <w:rsid w:val="00DC2B6E"/>
    <w:rsid w:val="00DC4F68"/>
    <w:rsid w:val="00DD450F"/>
    <w:rsid w:val="00DD6D63"/>
    <w:rsid w:val="00E013A0"/>
    <w:rsid w:val="00E01E5C"/>
    <w:rsid w:val="00E10C84"/>
    <w:rsid w:val="00E112EB"/>
    <w:rsid w:val="00E204BA"/>
    <w:rsid w:val="00E256A1"/>
    <w:rsid w:val="00E25ED6"/>
    <w:rsid w:val="00E3089D"/>
    <w:rsid w:val="00E30F15"/>
    <w:rsid w:val="00E315F0"/>
    <w:rsid w:val="00E322A9"/>
    <w:rsid w:val="00E32A88"/>
    <w:rsid w:val="00E409DF"/>
    <w:rsid w:val="00E43AA5"/>
    <w:rsid w:val="00E45A7C"/>
    <w:rsid w:val="00E646BF"/>
    <w:rsid w:val="00E6634F"/>
    <w:rsid w:val="00E74C54"/>
    <w:rsid w:val="00E75702"/>
    <w:rsid w:val="00E75805"/>
    <w:rsid w:val="00E778F2"/>
    <w:rsid w:val="00E830B9"/>
    <w:rsid w:val="00E840CA"/>
    <w:rsid w:val="00E84E25"/>
    <w:rsid w:val="00E862BC"/>
    <w:rsid w:val="00E876C9"/>
    <w:rsid w:val="00E87BCA"/>
    <w:rsid w:val="00E94B0E"/>
    <w:rsid w:val="00E94D1F"/>
    <w:rsid w:val="00EA0F7A"/>
    <w:rsid w:val="00EA2ECE"/>
    <w:rsid w:val="00EB5DC4"/>
    <w:rsid w:val="00EB6966"/>
    <w:rsid w:val="00EC368B"/>
    <w:rsid w:val="00ED0642"/>
    <w:rsid w:val="00ED2C5F"/>
    <w:rsid w:val="00ED342D"/>
    <w:rsid w:val="00EE0E76"/>
    <w:rsid w:val="00EE21AE"/>
    <w:rsid w:val="00EE3D94"/>
    <w:rsid w:val="00EE6B3B"/>
    <w:rsid w:val="00EE70B3"/>
    <w:rsid w:val="00EF54CA"/>
    <w:rsid w:val="00EF7654"/>
    <w:rsid w:val="00F056ED"/>
    <w:rsid w:val="00F06914"/>
    <w:rsid w:val="00F20508"/>
    <w:rsid w:val="00F30D5E"/>
    <w:rsid w:val="00F35117"/>
    <w:rsid w:val="00F373C4"/>
    <w:rsid w:val="00F40FFD"/>
    <w:rsid w:val="00F45F1A"/>
    <w:rsid w:val="00F50FCF"/>
    <w:rsid w:val="00F528E6"/>
    <w:rsid w:val="00F5326F"/>
    <w:rsid w:val="00F53C31"/>
    <w:rsid w:val="00F57156"/>
    <w:rsid w:val="00F5740B"/>
    <w:rsid w:val="00F61B54"/>
    <w:rsid w:val="00F6444E"/>
    <w:rsid w:val="00F70145"/>
    <w:rsid w:val="00F731EA"/>
    <w:rsid w:val="00F735AF"/>
    <w:rsid w:val="00F741D2"/>
    <w:rsid w:val="00F746DB"/>
    <w:rsid w:val="00F84B32"/>
    <w:rsid w:val="00F85CDA"/>
    <w:rsid w:val="00F96D3F"/>
    <w:rsid w:val="00F97831"/>
    <w:rsid w:val="00FA0A67"/>
    <w:rsid w:val="00FA0E7C"/>
    <w:rsid w:val="00FA23B6"/>
    <w:rsid w:val="00FA2532"/>
    <w:rsid w:val="00FA393F"/>
    <w:rsid w:val="00FB4B76"/>
    <w:rsid w:val="00FB5F74"/>
    <w:rsid w:val="00FB6AC1"/>
    <w:rsid w:val="00FC1482"/>
    <w:rsid w:val="00FC2F2E"/>
    <w:rsid w:val="00FC582D"/>
    <w:rsid w:val="00FE78CA"/>
    <w:rsid w:val="00FF5C0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B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46F9"/>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rsid w:val="006646F9"/>
    <w:pPr>
      <w:pBdr>
        <w:top w:val="nil"/>
        <w:left w:val="nil"/>
        <w:bottom w:val="nil"/>
        <w:right w:val="nil"/>
        <w:between w:val="nil"/>
        <w:bar w:val="nil"/>
      </w:pBdr>
    </w:pPr>
    <w:rPr>
      <w:rFonts w:ascii="Calibri" w:eastAsia="Calibri" w:hAnsi="Calibri" w:cs="Calibri"/>
      <w:color w:val="000000"/>
      <w:sz w:val="22"/>
      <w:szCs w:val="22"/>
      <w:u w:color="000000"/>
      <w:bdr w:val="nil"/>
      <w:lang w:eastAsia="es-ES_tradnl"/>
    </w:rPr>
  </w:style>
  <w:style w:type="table" w:customStyle="1" w:styleId="TableNormal">
    <w:name w:val="Table Normal"/>
    <w:rsid w:val="00E3089D"/>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3089D"/>
    <w:pPr>
      <w:pBdr>
        <w:top w:val="nil"/>
        <w:left w:val="nil"/>
        <w:bottom w:val="nil"/>
        <w:right w:val="nil"/>
        <w:between w:val="nil"/>
        <w:bar w:val="nil"/>
      </w:pBdr>
    </w:pPr>
    <w:rPr>
      <w:rFonts w:ascii="Times New Roman" w:eastAsia="Arial Unicode MS" w:hAnsi="Arial Unicode MS" w:cs="Arial Unicode MS"/>
      <w:color w:val="000000"/>
      <w:u w:color="000000"/>
      <w:bdr w:val="nil"/>
      <w:lang w:eastAsia="es-ES_tradnl"/>
    </w:rPr>
  </w:style>
  <w:style w:type="paragraph" w:styleId="Textonotapie">
    <w:name w:val="footnote text"/>
    <w:link w:val="TextonotapieCar"/>
    <w:rsid w:val="00E3089D"/>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eastAsia="es-ES_tradnl"/>
    </w:rPr>
  </w:style>
  <w:style w:type="character" w:customStyle="1" w:styleId="TextonotapieCar">
    <w:name w:val="Texto nota pie Car"/>
    <w:basedOn w:val="Fuentedeprrafopredeter"/>
    <w:link w:val="Textonotapie"/>
    <w:uiPriority w:val="99"/>
    <w:rsid w:val="00E3089D"/>
    <w:rPr>
      <w:rFonts w:ascii="Times New Roman" w:eastAsia="Times New Roman" w:hAnsi="Times New Roman" w:cs="Times New Roman"/>
      <w:color w:val="000000"/>
      <w:sz w:val="20"/>
      <w:szCs w:val="20"/>
      <w:u w:color="000000"/>
      <w:bdr w:val="nil"/>
      <w:lang w:eastAsia="es-ES_tradnl"/>
    </w:rPr>
  </w:style>
  <w:style w:type="character" w:styleId="Refdenotaalpie">
    <w:name w:val="footnote reference"/>
    <w:basedOn w:val="Fuentedeprrafopredeter"/>
    <w:unhideWhenUsed/>
    <w:rsid w:val="00E3089D"/>
    <w:rPr>
      <w:vertAlign w:val="superscript"/>
    </w:rPr>
  </w:style>
  <w:style w:type="table" w:styleId="Tablaconcuadrcula">
    <w:name w:val="Table Grid"/>
    <w:basedOn w:val="Tablanormal"/>
    <w:rsid w:val="00E3089D"/>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5410F"/>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10F"/>
    <w:rPr>
      <w:rFonts w:ascii="Tahoma" w:eastAsia="Arial Unicode MS" w:hAnsi="Tahoma" w:cs="Tahoma"/>
      <w:sz w:val="16"/>
      <w:szCs w:val="16"/>
      <w:bdr w:val="nil"/>
      <w:lang w:val="en-US"/>
    </w:rPr>
  </w:style>
  <w:style w:type="paragraph" w:customStyle="1" w:styleId="Textopredeterminado">
    <w:name w:val="Texto predeterminado"/>
    <w:basedOn w:val="Normal"/>
    <w:rsid w:val="000F523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Cs w:val="20"/>
      <w:bdr w:val="none" w:sz="0" w:space="0" w:color="auto"/>
      <w:lang w:eastAsia="es-ES"/>
    </w:rPr>
  </w:style>
  <w:style w:type="paragraph" w:customStyle="1" w:styleId="prrafodefuente">
    <w:name w:val="párrafo de fuente"/>
    <w:basedOn w:val="Normal"/>
    <w:rsid w:val="00C242CB"/>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s>
      <w:autoSpaceDE w:val="0"/>
      <w:autoSpaceDN w:val="0"/>
      <w:spacing w:before="120" w:after="120"/>
      <w:ind w:left="624" w:hanging="624"/>
    </w:pPr>
    <w:rPr>
      <w:rFonts w:eastAsia="Times New Roman"/>
      <w:spacing w:val="20"/>
      <w:sz w:val="18"/>
      <w:szCs w:val="18"/>
      <w:bdr w:val="none" w:sz="0" w:space="0" w:color="auto"/>
      <w:lang w:val="es-ES"/>
    </w:rPr>
  </w:style>
  <w:style w:type="paragraph" w:customStyle="1" w:styleId="Titulodecuadro">
    <w:name w:val="Titulo de cuadro"/>
    <w:basedOn w:val="Normal"/>
    <w:rsid w:val="00C242CB"/>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center"/>
    </w:pPr>
    <w:rPr>
      <w:rFonts w:eastAsia="Times New Roman" w:cs="Tahoma"/>
      <w:b/>
      <w:bCs/>
      <w:spacing w:val="20"/>
      <w:sz w:val="18"/>
      <w:szCs w:val="20"/>
      <w:bdr w:val="none" w:sz="0" w:space="0" w:color="auto"/>
      <w:lang w:val="es-ES" w:eastAsia="es-ES"/>
    </w:rPr>
  </w:style>
  <w:style w:type="paragraph" w:styleId="Prrafodelista">
    <w:name w:val="List Paragraph"/>
    <w:basedOn w:val="Normal"/>
    <w:uiPriority w:val="34"/>
    <w:qFormat/>
    <w:rsid w:val="000E50B1"/>
    <w:pPr>
      <w:ind w:left="720"/>
      <w:contextualSpacing/>
    </w:pPr>
  </w:style>
  <w:style w:type="character" w:styleId="Hipervnculo">
    <w:name w:val="Hyperlink"/>
    <w:basedOn w:val="Fuentedeprrafopredeter"/>
    <w:uiPriority w:val="99"/>
    <w:unhideWhenUsed/>
    <w:rsid w:val="000359C7"/>
    <w:rPr>
      <w:color w:val="0563C1" w:themeColor="hyperlink"/>
      <w:u w:val="single"/>
    </w:rPr>
  </w:style>
  <w:style w:type="paragraph" w:styleId="Descripcin">
    <w:name w:val="caption"/>
    <w:basedOn w:val="Normal"/>
    <w:next w:val="Normal"/>
    <w:uiPriority w:val="35"/>
    <w:semiHidden/>
    <w:unhideWhenUsed/>
    <w:qFormat/>
    <w:rsid w:val="00A62F7F"/>
    <w:pPr>
      <w:spacing w:after="200"/>
    </w:pPr>
    <w:rPr>
      <w:b/>
      <w:bCs/>
      <w:color w:val="5B9BD5" w:themeColor="accent1"/>
      <w:sz w:val="18"/>
      <w:szCs w:val="18"/>
    </w:rPr>
  </w:style>
  <w:style w:type="paragraph" w:styleId="Encabezado">
    <w:name w:val="header"/>
    <w:basedOn w:val="Normal"/>
    <w:link w:val="EncabezadoCar"/>
    <w:uiPriority w:val="99"/>
    <w:unhideWhenUsed/>
    <w:rsid w:val="001D3240"/>
    <w:pPr>
      <w:tabs>
        <w:tab w:val="center" w:pos="4419"/>
        <w:tab w:val="right" w:pos="8838"/>
      </w:tabs>
    </w:pPr>
  </w:style>
  <w:style w:type="character" w:customStyle="1" w:styleId="EncabezadoCar">
    <w:name w:val="Encabezado Car"/>
    <w:basedOn w:val="Fuentedeprrafopredeter"/>
    <w:link w:val="Encabezado"/>
    <w:uiPriority w:val="99"/>
    <w:rsid w:val="001D3240"/>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1D3240"/>
    <w:pPr>
      <w:tabs>
        <w:tab w:val="center" w:pos="4419"/>
        <w:tab w:val="right" w:pos="8838"/>
      </w:tabs>
    </w:pPr>
  </w:style>
  <w:style w:type="character" w:customStyle="1" w:styleId="PiedepginaCar">
    <w:name w:val="Pie de página Car"/>
    <w:basedOn w:val="Fuentedeprrafopredeter"/>
    <w:link w:val="Piedepgina"/>
    <w:uiPriority w:val="99"/>
    <w:rsid w:val="001D3240"/>
    <w:rPr>
      <w:rFonts w:ascii="Times New Roman" w:eastAsia="Arial Unicode MS" w:hAnsi="Times New Roman" w:cs="Times New Roman"/>
      <w:bdr w:val="nil"/>
      <w:lang w:val="en-US"/>
    </w:rPr>
  </w:style>
  <w:style w:type="paragraph" w:styleId="Bibliografa">
    <w:name w:val="Bibliography"/>
    <w:basedOn w:val="Normal"/>
    <w:next w:val="Normal"/>
    <w:uiPriority w:val="37"/>
    <w:semiHidden/>
    <w:unhideWhenUsed/>
    <w:rsid w:val="005B530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lang w:val="es-MX"/>
    </w:rPr>
  </w:style>
  <w:style w:type="paragraph" w:styleId="Sangradetextonormal">
    <w:name w:val="Body Text Indent"/>
    <w:basedOn w:val="Normal"/>
    <w:link w:val="SangradetextonormalCar"/>
    <w:rsid w:val="005B530E"/>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s-ES" w:eastAsia="es-ES"/>
    </w:rPr>
  </w:style>
  <w:style w:type="character" w:customStyle="1" w:styleId="SangradetextonormalCar">
    <w:name w:val="Sangría de texto normal Car"/>
    <w:basedOn w:val="Fuentedeprrafopredeter"/>
    <w:link w:val="Sangradetextonormal"/>
    <w:rsid w:val="005B530E"/>
    <w:rPr>
      <w:rFonts w:ascii="Times New Roman" w:eastAsia="Times New Roman" w:hAnsi="Times New Roman" w:cs="Times New Roman"/>
      <w:lang w:val="es-ES" w:eastAsia="es-ES"/>
    </w:rPr>
  </w:style>
  <w:style w:type="paragraph" w:styleId="Textoindependiente">
    <w:name w:val="Body Text"/>
    <w:basedOn w:val="Normal"/>
    <w:link w:val="TextoindependienteCar"/>
    <w:uiPriority w:val="99"/>
    <w:unhideWhenUsed/>
    <w:rsid w:val="005B530E"/>
    <w:pPr>
      <w:spacing w:after="120"/>
    </w:pPr>
  </w:style>
  <w:style w:type="character" w:customStyle="1" w:styleId="TextoindependienteCar">
    <w:name w:val="Texto independiente Car"/>
    <w:basedOn w:val="Fuentedeprrafopredeter"/>
    <w:link w:val="Textoindependiente"/>
    <w:uiPriority w:val="99"/>
    <w:rsid w:val="005B530E"/>
    <w:rPr>
      <w:rFonts w:ascii="Times New Roman" w:eastAsia="Arial Unicode MS" w:hAnsi="Times New Roman" w:cs="Times New Roman"/>
      <w:bdr w:val="nil"/>
      <w:lang w:val="en-US"/>
    </w:rPr>
  </w:style>
  <w:style w:type="character" w:customStyle="1" w:styleId="apple-converted-space">
    <w:name w:val="apple-converted-space"/>
    <w:basedOn w:val="Fuentedeprrafopredeter"/>
    <w:rsid w:val="00527902"/>
  </w:style>
  <w:style w:type="character" w:styleId="Refdecomentario">
    <w:name w:val="annotation reference"/>
    <w:basedOn w:val="Fuentedeprrafopredeter"/>
    <w:uiPriority w:val="99"/>
    <w:semiHidden/>
    <w:unhideWhenUsed/>
    <w:rsid w:val="00876E35"/>
    <w:rPr>
      <w:sz w:val="18"/>
      <w:szCs w:val="18"/>
    </w:rPr>
  </w:style>
  <w:style w:type="paragraph" w:styleId="Textocomentario">
    <w:name w:val="annotation text"/>
    <w:basedOn w:val="Normal"/>
    <w:link w:val="TextocomentarioCar"/>
    <w:uiPriority w:val="99"/>
    <w:semiHidden/>
    <w:unhideWhenUsed/>
    <w:rsid w:val="00876E35"/>
  </w:style>
  <w:style w:type="character" w:customStyle="1" w:styleId="TextocomentarioCar">
    <w:name w:val="Texto comentario Car"/>
    <w:basedOn w:val="Fuentedeprrafopredeter"/>
    <w:link w:val="Textocomentario"/>
    <w:uiPriority w:val="99"/>
    <w:semiHidden/>
    <w:rsid w:val="00876E35"/>
    <w:rPr>
      <w:rFonts w:ascii="Times New Roman" w:eastAsia="Arial Unicode MS" w:hAnsi="Times New Roman" w:cs="Times New Roman"/>
      <w:bdr w:val="nil"/>
      <w:lang w:val="en-US"/>
    </w:rPr>
  </w:style>
  <w:style w:type="paragraph" w:styleId="Asuntodelcomentario">
    <w:name w:val="annotation subject"/>
    <w:basedOn w:val="Textocomentario"/>
    <w:next w:val="Textocomentario"/>
    <w:link w:val="AsuntodelcomentarioCar"/>
    <w:uiPriority w:val="99"/>
    <w:semiHidden/>
    <w:unhideWhenUsed/>
    <w:rsid w:val="00876E35"/>
    <w:rPr>
      <w:b/>
      <w:bCs/>
      <w:sz w:val="20"/>
      <w:szCs w:val="20"/>
    </w:rPr>
  </w:style>
  <w:style w:type="character" w:customStyle="1" w:styleId="AsuntodelcomentarioCar">
    <w:name w:val="Asunto del comentario Car"/>
    <w:basedOn w:val="TextocomentarioCar"/>
    <w:link w:val="Asuntodelcomentario"/>
    <w:uiPriority w:val="99"/>
    <w:semiHidden/>
    <w:rsid w:val="00876E35"/>
    <w:rPr>
      <w:rFonts w:ascii="Times New Roman" w:eastAsia="Arial Unicode MS" w:hAnsi="Times New Roman" w:cs="Times New Roman"/>
      <w:b/>
      <w:bCs/>
      <w:sz w:val="20"/>
      <w:szCs w:val="20"/>
      <w:bdr w:val="nil"/>
      <w:lang w:val="en-US"/>
    </w:rPr>
  </w:style>
  <w:style w:type="paragraph" w:styleId="NormalWeb">
    <w:name w:val="Normal (Web)"/>
    <w:basedOn w:val="Normal"/>
    <w:uiPriority w:val="99"/>
    <w:semiHidden/>
    <w:unhideWhenUsed/>
    <w:rsid w:val="00641A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0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592-3656" TargetMode="External"/><Relationship Id="rId13" Type="http://schemas.openxmlformats.org/officeDocument/2006/relationships/chart" Target="charts/chart3.xml"/><Relationship Id="rId18" Type="http://schemas.openxmlformats.org/officeDocument/2006/relationships/hyperlink" Target="http://indice2014.transparencialegislativa.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integralia.com.mx/content/publicaciones/008/RL4.pdf" TargetMode="External"/><Relationship Id="rId2" Type="http://schemas.openxmlformats.org/officeDocument/2006/relationships/numbering" Target="numbering.xml"/><Relationship Id="rId16" Type="http://schemas.openxmlformats.org/officeDocument/2006/relationships/hyperlink" Target="http://www.openingparliamentar.org/declar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atinobarometro.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indice.transparencialegislativa.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 de Diputados Reelectos</c:v>
                </c:pt>
              </c:strCache>
            </c:strRef>
          </c:tx>
          <c:invertIfNegative val="0"/>
          <c:cat>
            <c:strRef>
              <c:f>Hoja1!$A$2:$A$18</c:f>
              <c:strCache>
                <c:ptCount val="17"/>
                <c:pt idx="0">
                  <c:v>Argentina</c:v>
                </c:pt>
                <c:pt idx="1">
                  <c:v>Chile</c:v>
                </c:pt>
                <c:pt idx="2">
                  <c:v>Brasil</c:v>
                </c:pt>
                <c:pt idx="3">
                  <c:v>Paraguay</c:v>
                </c:pt>
                <c:pt idx="4">
                  <c:v>Colombia</c:v>
                </c:pt>
                <c:pt idx="5">
                  <c:v>Rep. Dominicana</c:v>
                </c:pt>
                <c:pt idx="6">
                  <c:v>Bolivia</c:v>
                </c:pt>
                <c:pt idx="7">
                  <c:v>México</c:v>
                </c:pt>
                <c:pt idx="8">
                  <c:v>Ecuador</c:v>
                </c:pt>
                <c:pt idx="9">
                  <c:v>El Salvador</c:v>
                </c:pt>
                <c:pt idx="10">
                  <c:v>Guatemala</c:v>
                </c:pt>
                <c:pt idx="11">
                  <c:v>Honduras</c:v>
                </c:pt>
                <c:pt idx="12">
                  <c:v>Nicaragua</c:v>
                </c:pt>
                <c:pt idx="13">
                  <c:v>Panamá</c:v>
                </c:pt>
                <c:pt idx="14">
                  <c:v>Perú</c:v>
                </c:pt>
                <c:pt idx="15">
                  <c:v>Venezuela</c:v>
                </c:pt>
                <c:pt idx="16">
                  <c:v>Costa Rica</c:v>
                </c:pt>
              </c:strCache>
            </c:strRef>
          </c:cat>
          <c:val>
            <c:numRef>
              <c:f>Hoja1!$B$2:$B$18</c:f>
              <c:numCache>
                <c:formatCode>General</c:formatCode>
                <c:ptCount val="17"/>
                <c:pt idx="0">
                  <c:v>52.01</c:v>
                </c:pt>
                <c:pt idx="1">
                  <c:v>63.33</c:v>
                </c:pt>
                <c:pt idx="2">
                  <c:v>50.97</c:v>
                </c:pt>
                <c:pt idx="3">
                  <c:v>31.25</c:v>
                </c:pt>
                <c:pt idx="4">
                  <c:v>32.130000000000003</c:v>
                </c:pt>
                <c:pt idx="5">
                  <c:v>19.88</c:v>
                </c:pt>
                <c:pt idx="6">
                  <c:v>9.99</c:v>
                </c:pt>
                <c:pt idx="7">
                  <c:v>5.59</c:v>
                </c:pt>
                <c:pt idx="8">
                  <c:v>12.69</c:v>
                </c:pt>
                <c:pt idx="9">
                  <c:v>43.44</c:v>
                </c:pt>
                <c:pt idx="10">
                  <c:v>13.5</c:v>
                </c:pt>
                <c:pt idx="11">
                  <c:v>24.28</c:v>
                </c:pt>
                <c:pt idx="12">
                  <c:v>27.16</c:v>
                </c:pt>
                <c:pt idx="13">
                  <c:v>35.21</c:v>
                </c:pt>
                <c:pt idx="14">
                  <c:v>20.27</c:v>
                </c:pt>
                <c:pt idx="15">
                  <c:v>23.03</c:v>
                </c:pt>
                <c:pt idx="16">
                  <c:v>3.5</c:v>
                </c:pt>
              </c:numCache>
            </c:numRef>
          </c:val>
          <c:extLst>
            <c:ext xmlns:c16="http://schemas.microsoft.com/office/drawing/2014/chart" uri="{C3380CC4-5D6E-409C-BE32-E72D297353CC}">
              <c16:uniqueId val="{00000000-16A3-496D-BC36-3F0459FAA986}"/>
            </c:ext>
          </c:extLst>
        </c:ser>
        <c:ser>
          <c:idx val="1"/>
          <c:order val="1"/>
          <c:tx>
            <c:strRef>
              <c:f>Hoja1!$C$1</c:f>
              <c:strCache>
                <c:ptCount val="1"/>
                <c:pt idx="0">
                  <c:v>% de Senadores reelectos</c:v>
                </c:pt>
              </c:strCache>
            </c:strRef>
          </c:tx>
          <c:invertIfNegative val="0"/>
          <c:cat>
            <c:strRef>
              <c:f>Hoja1!$A$2:$A$18</c:f>
              <c:strCache>
                <c:ptCount val="17"/>
                <c:pt idx="0">
                  <c:v>Argentina</c:v>
                </c:pt>
                <c:pt idx="1">
                  <c:v>Chile</c:v>
                </c:pt>
                <c:pt idx="2">
                  <c:v>Brasil</c:v>
                </c:pt>
                <c:pt idx="3">
                  <c:v>Paraguay</c:v>
                </c:pt>
                <c:pt idx="4">
                  <c:v>Colombia</c:v>
                </c:pt>
                <c:pt idx="5">
                  <c:v>Rep. Dominicana</c:v>
                </c:pt>
                <c:pt idx="6">
                  <c:v>Bolivia</c:v>
                </c:pt>
                <c:pt idx="7">
                  <c:v>México</c:v>
                </c:pt>
                <c:pt idx="8">
                  <c:v>Ecuador</c:v>
                </c:pt>
                <c:pt idx="9">
                  <c:v>El Salvador</c:v>
                </c:pt>
                <c:pt idx="10">
                  <c:v>Guatemala</c:v>
                </c:pt>
                <c:pt idx="11">
                  <c:v>Honduras</c:v>
                </c:pt>
                <c:pt idx="12">
                  <c:v>Nicaragua</c:v>
                </c:pt>
                <c:pt idx="13">
                  <c:v>Panamá</c:v>
                </c:pt>
                <c:pt idx="14">
                  <c:v>Perú</c:v>
                </c:pt>
                <c:pt idx="15">
                  <c:v>Venezuela</c:v>
                </c:pt>
                <c:pt idx="16">
                  <c:v>Costa Rica</c:v>
                </c:pt>
              </c:strCache>
            </c:strRef>
          </c:cat>
          <c:val>
            <c:numRef>
              <c:f>Hoja1!$C$2:$C$18</c:f>
              <c:numCache>
                <c:formatCode>General</c:formatCode>
                <c:ptCount val="17"/>
                <c:pt idx="0">
                  <c:v>66.66</c:v>
                </c:pt>
                <c:pt idx="1">
                  <c:v>54.08</c:v>
                </c:pt>
                <c:pt idx="2">
                  <c:v>54.94</c:v>
                </c:pt>
                <c:pt idx="3">
                  <c:v>24.44</c:v>
                </c:pt>
                <c:pt idx="4">
                  <c:v>11.76</c:v>
                </c:pt>
                <c:pt idx="5">
                  <c:v>30.04</c:v>
                </c:pt>
                <c:pt idx="6">
                  <c:v>7.41</c:v>
                </c:pt>
                <c:pt idx="7">
                  <c:v>0</c:v>
                </c:pt>
              </c:numCache>
            </c:numRef>
          </c:val>
          <c:extLst>
            <c:ext xmlns:c16="http://schemas.microsoft.com/office/drawing/2014/chart" uri="{C3380CC4-5D6E-409C-BE32-E72D297353CC}">
              <c16:uniqueId val="{00000001-16A3-496D-BC36-3F0459FAA986}"/>
            </c:ext>
          </c:extLst>
        </c:ser>
        <c:dLbls>
          <c:showLegendKey val="0"/>
          <c:showVal val="0"/>
          <c:showCatName val="0"/>
          <c:showSerName val="0"/>
          <c:showPercent val="0"/>
          <c:showBubbleSize val="0"/>
        </c:dLbls>
        <c:gapWidth val="150"/>
        <c:axId val="1827304360"/>
        <c:axId val="1827307384"/>
      </c:barChart>
      <c:catAx>
        <c:axId val="1827304360"/>
        <c:scaling>
          <c:orientation val="minMax"/>
        </c:scaling>
        <c:delete val="0"/>
        <c:axPos val="b"/>
        <c:numFmt formatCode="General" sourceLinked="0"/>
        <c:majorTickMark val="out"/>
        <c:minorTickMark val="none"/>
        <c:tickLblPos val="nextTo"/>
        <c:crossAx val="1827307384"/>
        <c:crosses val="autoZero"/>
        <c:auto val="1"/>
        <c:lblAlgn val="ctr"/>
        <c:lblOffset val="100"/>
        <c:noMultiLvlLbl val="0"/>
      </c:catAx>
      <c:valAx>
        <c:axId val="1827307384"/>
        <c:scaling>
          <c:orientation val="minMax"/>
        </c:scaling>
        <c:delete val="0"/>
        <c:axPos val="l"/>
        <c:majorGridlines/>
        <c:numFmt formatCode="General" sourceLinked="1"/>
        <c:majorTickMark val="out"/>
        <c:minorTickMark val="none"/>
        <c:tickLblPos val="nextTo"/>
        <c:crossAx val="1827304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índice 2014</c:v>
                </c:pt>
              </c:strCache>
            </c:strRef>
          </c:tx>
          <c:spPr>
            <a:ln w="19050" cap="rnd">
              <a:solidFill>
                <a:schemeClr val="accent1"/>
              </a:solidFill>
              <a:round/>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C66B-4E45-B356-83E0E7E73A41}"/>
                </c:ext>
              </c:extLst>
            </c:dLbl>
            <c:dLbl>
              <c:idx val="4"/>
              <c:delete val="1"/>
              <c:extLst>
                <c:ext xmlns:c15="http://schemas.microsoft.com/office/drawing/2012/chart" uri="{CE6537A1-D6FC-4f65-9D91-7224C49458BB}"/>
                <c:ext xmlns:c16="http://schemas.microsoft.com/office/drawing/2014/chart" uri="{C3380CC4-5D6E-409C-BE32-E72D297353CC}">
                  <c16:uniqueId val="{00000001-C66B-4E45-B356-83E0E7E73A41}"/>
                </c:ext>
              </c:extLst>
            </c:dLbl>
            <c:dLbl>
              <c:idx val="10"/>
              <c:delete val="1"/>
              <c:extLst>
                <c:ext xmlns:c15="http://schemas.microsoft.com/office/drawing/2012/chart" uri="{CE6537A1-D6FC-4f65-9D91-7224C49458BB}"/>
                <c:ext xmlns:c16="http://schemas.microsoft.com/office/drawing/2014/chart" uri="{C3380CC4-5D6E-409C-BE32-E72D297353CC}">
                  <c16:uniqueId val="{00000002-C66B-4E45-B356-83E0E7E73A41}"/>
                </c:ext>
              </c:extLst>
            </c:dLbl>
            <c:dLbl>
              <c:idx val="12"/>
              <c:delete val="1"/>
              <c:extLst>
                <c:ext xmlns:c15="http://schemas.microsoft.com/office/drawing/2012/chart" uri="{CE6537A1-D6FC-4f65-9D91-7224C49458BB}"/>
                <c:ext xmlns:c16="http://schemas.microsoft.com/office/drawing/2014/chart" uri="{C3380CC4-5D6E-409C-BE32-E72D297353CC}">
                  <c16:uniqueId val="{00000003-C66B-4E45-B356-83E0E7E73A41}"/>
                </c:ext>
              </c:extLst>
            </c:dLbl>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Hoja1!$A$2:$A$15</c:f>
              <c:strCache>
                <c:ptCount val="14"/>
                <c:pt idx="0">
                  <c:v>Venezuela</c:v>
                </c:pt>
                <c:pt idx="1">
                  <c:v>Bolivia</c:v>
                </c:pt>
                <c:pt idx="2">
                  <c:v>Argentina</c:v>
                </c:pt>
                <c:pt idx="3">
                  <c:v>Rep. Domin</c:v>
                </c:pt>
                <c:pt idx="4">
                  <c:v>Panamá</c:v>
                </c:pt>
                <c:pt idx="5">
                  <c:v>México</c:v>
                </c:pt>
                <c:pt idx="6">
                  <c:v>Colombia</c:v>
                </c:pt>
                <c:pt idx="7">
                  <c:v>Guatemala</c:v>
                </c:pt>
                <c:pt idx="8">
                  <c:v>Ecuador</c:v>
                </c:pt>
                <c:pt idx="9">
                  <c:v>Perú</c:v>
                </c:pt>
                <c:pt idx="10">
                  <c:v>Paraguay</c:v>
                </c:pt>
                <c:pt idx="11">
                  <c:v>Chile</c:v>
                </c:pt>
                <c:pt idx="12">
                  <c:v>Costa Rica</c:v>
                </c:pt>
                <c:pt idx="13">
                  <c:v>AL</c:v>
                </c:pt>
              </c:strCache>
            </c:strRef>
          </c:cat>
          <c:val>
            <c:numRef>
              <c:f>Hoja1!$B$2:$B$15</c:f>
              <c:numCache>
                <c:formatCode>General</c:formatCode>
                <c:ptCount val="14"/>
                <c:pt idx="0">
                  <c:v>0.21</c:v>
                </c:pt>
                <c:pt idx="1">
                  <c:v>0.24</c:v>
                </c:pt>
                <c:pt idx="2">
                  <c:v>0.36</c:v>
                </c:pt>
                <c:pt idx="3">
                  <c:v>0</c:v>
                </c:pt>
                <c:pt idx="4">
                  <c:v>0</c:v>
                </c:pt>
                <c:pt idx="5">
                  <c:v>0.37</c:v>
                </c:pt>
                <c:pt idx="6">
                  <c:v>0.38</c:v>
                </c:pt>
                <c:pt idx="7">
                  <c:v>0.46</c:v>
                </c:pt>
                <c:pt idx="8">
                  <c:v>0.49</c:v>
                </c:pt>
                <c:pt idx="9">
                  <c:v>0.55000000000000004</c:v>
                </c:pt>
                <c:pt idx="10">
                  <c:v>0</c:v>
                </c:pt>
                <c:pt idx="11">
                  <c:v>0.53</c:v>
                </c:pt>
                <c:pt idx="12">
                  <c:v>0</c:v>
                </c:pt>
                <c:pt idx="13">
                  <c:v>0.44</c:v>
                </c:pt>
              </c:numCache>
            </c:numRef>
          </c:val>
          <c:extLst>
            <c:ext xmlns:c16="http://schemas.microsoft.com/office/drawing/2014/chart" uri="{C3380CC4-5D6E-409C-BE32-E72D297353CC}">
              <c16:uniqueId val="{00000000-1579-4860-8B5A-05E96BFCE395}"/>
            </c:ext>
          </c:extLst>
        </c:ser>
        <c:ser>
          <c:idx val="1"/>
          <c:order val="1"/>
          <c:tx>
            <c:strRef>
              <c:f>Hoja1!$C$1</c:f>
              <c:strCache>
                <c:ptCount val="1"/>
                <c:pt idx="0">
                  <c:v>índice 2016</c:v>
                </c:pt>
              </c:strCache>
            </c:strRef>
          </c:tx>
          <c:spPr>
            <a:ln w="16510" cap="rnd">
              <a:solidFill>
                <a:schemeClr val="accent2"/>
              </a:solidFill>
              <a:round/>
            </a:ln>
            <a:effectLst/>
          </c:spPr>
          <c:invertIfNegative val="0"/>
          <c:dLbls>
            <c:spPr>
              <a:noFill/>
              <a:ln>
                <a:noFill/>
              </a:ln>
              <a:effectLst/>
            </c:spPr>
            <c:txPr>
              <a:bodyPr/>
              <a:lstStyle/>
              <a:p>
                <a:pPr>
                  <a:defRPr sz="8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Hoja1!$A$2:$A$15</c:f>
              <c:strCache>
                <c:ptCount val="14"/>
                <c:pt idx="0">
                  <c:v>Venezuela</c:v>
                </c:pt>
                <c:pt idx="1">
                  <c:v>Bolivia</c:v>
                </c:pt>
                <c:pt idx="2">
                  <c:v>Argentina</c:v>
                </c:pt>
                <c:pt idx="3">
                  <c:v>Rep. Domin</c:v>
                </c:pt>
                <c:pt idx="4">
                  <c:v>Panamá</c:v>
                </c:pt>
                <c:pt idx="5">
                  <c:v>México</c:v>
                </c:pt>
                <c:pt idx="6">
                  <c:v>Colombia</c:v>
                </c:pt>
                <c:pt idx="7">
                  <c:v>Guatemala</c:v>
                </c:pt>
                <c:pt idx="8">
                  <c:v>Ecuador</c:v>
                </c:pt>
                <c:pt idx="9">
                  <c:v>Perú</c:v>
                </c:pt>
                <c:pt idx="10">
                  <c:v>Paraguay</c:v>
                </c:pt>
                <c:pt idx="11">
                  <c:v>Chile</c:v>
                </c:pt>
                <c:pt idx="12">
                  <c:v>Costa Rica</c:v>
                </c:pt>
                <c:pt idx="13">
                  <c:v>AL</c:v>
                </c:pt>
              </c:strCache>
            </c:strRef>
          </c:cat>
          <c:val>
            <c:numRef>
              <c:f>Hoja1!$C$2:$C$15</c:f>
              <c:numCache>
                <c:formatCode>General</c:formatCode>
                <c:ptCount val="14"/>
                <c:pt idx="0">
                  <c:v>0.21</c:v>
                </c:pt>
                <c:pt idx="1">
                  <c:v>0.43</c:v>
                </c:pt>
                <c:pt idx="2">
                  <c:v>0.39</c:v>
                </c:pt>
                <c:pt idx="3">
                  <c:v>0.37</c:v>
                </c:pt>
                <c:pt idx="4">
                  <c:v>0.44</c:v>
                </c:pt>
                <c:pt idx="5">
                  <c:v>0.54</c:v>
                </c:pt>
                <c:pt idx="6">
                  <c:v>0.56000000000000005</c:v>
                </c:pt>
                <c:pt idx="7">
                  <c:v>0.6</c:v>
                </c:pt>
                <c:pt idx="8">
                  <c:v>0.56000000000000005</c:v>
                </c:pt>
                <c:pt idx="9">
                  <c:v>0.5</c:v>
                </c:pt>
                <c:pt idx="10">
                  <c:v>0.62</c:v>
                </c:pt>
                <c:pt idx="11">
                  <c:v>0.64</c:v>
                </c:pt>
                <c:pt idx="12">
                  <c:v>0.72</c:v>
                </c:pt>
                <c:pt idx="13">
                  <c:v>0.5</c:v>
                </c:pt>
              </c:numCache>
            </c:numRef>
          </c:val>
          <c:extLst>
            <c:ext xmlns:c16="http://schemas.microsoft.com/office/drawing/2014/chart" uri="{C3380CC4-5D6E-409C-BE32-E72D297353CC}">
              <c16:uniqueId val="{00000001-1579-4860-8B5A-05E96BFCE395}"/>
            </c:ext>
          </c:extLst>
        </c:ser>
        <c:dLbls>
          <c:showLegendKey val="0"/>
          <c:showVal val="0"/>
          <c:showCatName val="0"/>
          <c:showSerName val="0"/>
          <c:showPercent val="0"/>
          <c:showBubbleSize val="0"/>
        </c:dLbls>
        <c:gapWidth val="95"/>
        <c:axId val="1827285160"/>
        <c:axId val="1827289160"/>
      </c:barChart>
      <c:catAx>
        <c:axId val="1827285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7289160"/>
        <c:crosses val="autoZero"/>
        <c:auto val="1"/>
        <c:lblAlgn val="ctr"/>
        <c:lblOffset val="100"/>
        <c:noMultiLvlLbl val="0"/>
      </c:catAx>
      <c:valAx>
        <c:axId val="1827289160"/>
        <c:scaling>
          <c:orientation val="minMax"/>
          <c:max val="1"/>
        </c:scaling>
        <c:delete val="0"/>
        <c:axPos val="b"/>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solidFill>
                      <a:schemeClr val="bg1">
                        <a:lumMod val="50000"/>
                      </a:schemeClr>
                    </a:solidFill>
                  </a:defRPr>
                </a:pPr>
                <a:r>
                  <a:rPr lang="es-ES">
                    <a:solidFill>
                      <a:schemeClr val="bg1">
                        <a:lumMod val="50000"/>
                      </a:schemeClr>
                    </a:solidFill>
                  </a:rPr>
                  <a:t> SIN</a:t>
                </a:r>
                <a:r>
                  <a:rPr lang="es-ES" baseline="0">
                    <a:solidFill>
                      <a:schemeClr val="bg1">
                        <a:lumMod val="50000"/>
                      </a:schemeClr>
                    </a:solidFill>
                  </a:rPr>
                  <a:t> VINCULACIÓN                                                 CON VINCULACIÓN  </a:t>
                </a:r>
                <a:endParaRPr lang="es-ES">
                  <a:solidFill>
                    <a:schemeClr val="bg1">
                      <a:lumMod val="50000"/>
                    </a:schemeClr>
                  </a:solidFill>
                </a:endParaRPr>
              </a:p>
            </c:rich>
          </c:tx>
          <c:layout>
            <c:manualLayout>
              <c:xMode val="edge"/>
              <c:yMode val="edge"/>
              <c:x val="0.14453521434820599"/>
              <c:y val="0.90629880270692298"/>
            </c:manualLayout>
          </c:layout>
          <c:overlay val="0"/>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7285160"/>
        <c:crosses val="autoZero"/>
        <c:crossBetween val="between"/>
      </c:valAx>
      <c:spPr>
        <a:noFill/>
        <a:ln>
          <a:noFill/>
        </a:ln>
        <a:effectLst/>
      </c:spPr>
    </c:plotArea>
    <c:legend>
      <c:legendPos val="r"/>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Normativa</c:v>
                </c:pt>
              </c:strCache>
            </c:strRef>
          </c:tx>
          <c:spPr>
            <a:ln w="28575" cap="rnd">
              <a:solidFill>
                <a:schemeClr val="accent6">
                  <a:lumMod val="75000"/>
                </a:schemeClr>
              </a:solidFill>
              <a:round/>
            </a:ln>
            <a:effectLst/>
          </c:spPr>
          <c:marker>
            <c:symbol val="none"/>
          </c:marker>
          <c:cat>
            <c:strRef>
              <c:f>Hoja1!$A$2:$A$14</c:f>
              <c:strCache>
                <c:ptCount val="13"/>
                <c:pt idx="0">
                  <c:v>Argentina</c:v>
                </c:pt>
                <c:pt idx="1">
                  <c:v>Boliia</c:v>
                </c:pt>
                <c:pt idx="2">
                  <c:v>Chile</c:v>
                </c:pt>
                <c:pt idx="3">
                  <c:v>Colombia</c:v>
                </c:pt>
                <c:pt idx="4">
                  <c:v>Costa Rica</c:v>
                </c:pt>
                <c:pt idx="5">
                  <c:v>Ecuador</c:v>
                </c:pt>
                <c:pt idx="6">
                  <c:v>Guatemala</c:v>
                </c:pt>
                <c:pt idx="7">
                  <c:v>México</c:v>
                </c:pt>
                <c:pt idx="8">
                  <c:v>Panamá</c:v>
                </c:pt>
                <c:pt idx="9">
                  <c:v>Paraguay</c:v>
                </c:pt>
                <c:pt idx="10">
                  <c:v>Perú</c:v>
                </c:pt>
                <c:pt idx="11">
                  <c:v>Rep.Dominicana</c:v>
                </c:pt>
                <c:pt idx="12">
                  <c:v>Venezuela</c:v>
                </c:pt>
              </c:strCache>
            </c:strRef>
          </c:cat>
          <c:val>
            <c:numRef>
              <c:f>Hoja1!$B$2:$B$14</c:f>
              <c:numCache>
                <c:formatCode>General</c:formatCode>
                <c:ptCount val="13"/>
                <c:pt idx="0">
                  <c:v>0.55000000000000004</c:v>
                </c:pt>
                <c:pt idx="1">
                  <c:v>0.45</c:v>
                </c:pt>
                <c:pt idx="2">
                  <c:v>0.56999999999999995</c:v>
                </c:pt>
                <c:pt idx="3">
                  <c:v>0.5</c:v>
                </c:pt>
                <c:pt idx="4">
                  <c:v>0.54</c:v>
                </c:pt>
                <c:pt idx="5">
                  <c:v>0.63</c:v>
                </c:pt>
                <c:pt idx="6">
                  <c:v>0.51</c:v>
                </c:pt>
                <c:pt idx="7">
                  <c:v>0.73</c:v>
                </c:pt>
                <c:pt idx="8">
                  <c:v>0.45</c:v>
                </c:pt>
                <c:pt idx="9">
                  <c:v>0.44</c:v>
                </c:pt>
                <c:pt idx="10">
                  <c:v>0.54</c:v>
                </c:pt>
                <c:pt idx="11">
                  <c:v>0.41</c:v>
                </c:pt>
                <c:pt idx="12">
                  <c:v>0.38</c:v>
                </c:pt>
              </c:numCache>
            </c:numRef>
          </c:val>
          <c:smooth val="0"/>
          <c:extLst>
            <c:ext xmlns:c16="http://schemas.microsoft.com/office/drawing/2014/chart" uri="{C3380CC4-5D6E-409C-BE32-E72D297353CC}">
              <c16:uniqueId val="{00000000-2D83-4C22-9A44-6E5C6F35750C}"/>
            </c:ext>
          </c:extLst>
        </c:ser>
        <c:ser>
          <c:idx val="1"/>
          <c:order val="1"/>
          <c:tx>
            <c:strRef>
              <c:f>Hoja1!$C$1</c:f>
              <c:strCache>
                <c:ptCount val="1"/>
                <c:pt idx="0">
                  <c:v>Labor del Congreso</c:v>
                </c:pt>
              </c:strCache>
            </c:strRef>
          </c:tx>
          <c:spPr>
            <a:ln w="28575" cap="rnd">
              <a:solidFill>
                <a:srgbClr val="7030A0"/>
              </a:solidFill>
              <a:round/>
            </a:ln>
            <a:effectLst/>
          </c:spPr>
          <c:marker>
            <c:symbol val="none"/>
          </c:marker>
          <c:cat>
            <c:strRef>
              <c:f>Hoja1!$A$2:$A$14</c:f>
              <c:strCache>
                <c:ptCount val="13"/>
                <c:pt idx="0">
                  <c:v>Argentina</c:v>
                </c:pt>
                <c:pt idx="1">
                  <c:v>Boliia</c:v>
                </c:pt>
                <c:pt idx="2">
                  <c:v>Chile</c:v>
                </c:pt>
                <c:pt idx="3">
                  <c:v>Colombia</c:v>
                </c:pt>
                <c:pt idx="4">
                  <c:v>Costa Rica</c:v>
                </c:pt>
                <c:pt idx="5">
                  <c:v>Ecuador</c:v>
                </c:pt>
                <c:pt idx="6">
                  <c:v>Guatemala</c:v>
                </c:pt>
                <c:pt idx="7">
                  <c:v>México</c:v>
                </c:pt>
                <c:pt idx="8">
                  <c:v>Panamá</c:v>
                </c:pt>
                <c:pt idx="9">
                  <c:v>Paraguay</c:v>
                </c:pt>
                <c:pt idx="10">
                  <c:v>Perú</c:v>
                </c:pt>
                <c:pt idx="11">
                  <c:v>Rep.Dominicana</c:v>
                </c:pt>
                <c:pt idx="12">
                  <c:v>Venezuela</c:v>
                </c:pt>
              </c:strCache>
            </c:strRef>
          </c:cat>
          <c:val>
            <c:numRef>
              <c:f>Hoja1!$C$2:$C$14</c:f>
              <c:numCache>
                <c:formatCode>General</c:formatCode>
                <c:ptCount val="13"/>
                <c:pt idx="0">
                  <c:v>0.54</c:v>
                </c:pt>
                <c:pt idx="1">
                  <c:v>0.3</c:v>
                </c:pt>
                <c:pt idx="2">
                  <c:v>0.7</c:v>
                </c:pt>
                <c:pt idx="3">
                  <c:v>0.55000000000000004</c:v>
                </c:pt>
                <c:pt idx="4">
                  <c:v>0.78</c:v>
                </c:pt>
                <c:pt idx="5">
                  <c:v>0.46</c:v>
                </c:pt>
                <c:pt idx="6">
                  <c:v>0.55000000000000004</c:v>
                </c:pt>
                <c:pt idx="7">
                  <c:v>0.47</c:v>
                </c:pt>
                <c:pt idx="8">
                  <c:v>0.38</c:v>
                </c:pt>
                <c:pt idx="9">
                  <c:v>0.66</c:v>
                </c:pt>
                <c:pt idx="10">
                  <c:v>0.56000000000000005</c:v>
                </c:pt>
                <c:pt idx="11">
                  <c:v>0.4</c:v>
                </c:pt>
                <c:pt idx="12">
                  <c:v>0.2</c:v>
                </c:pt>
              </c:numCache>
            </c:numRef>
          </c:val>
          <c:smooth val="0"/>
          <c:extLst>
            <c:ext xmlns:c16="http://schemas.microsoft.com/office/drawing/2014/chart" uri="{C3380CC4-5D6E-409C-BE32-E72D297353CC}">
              <c16:uniqueId val="{00000001-2D83-4C22-9A44-6E5C6F35750C}"/>
            </c:ext>
          </c:extLst>
        </c:ser>
        <c:ser>
          <c:idx val="2"/>
          <c:order val="2"/>
          <c:tx>
            <c:strRef>
              <c:f>Hoja1!$D$1</c:f>
              <c:strCache>
                <c:ptCount val="1"/>
                <c:pt idx="0">
                  <c:v>Presupuesto</c:v>
                </c:pt>
              </c:strCache>
            </c:strRef>
          </c:tx>
          <c:spPr>
            <a:ln w="28575" cap="rnd">
              <a:solidFill>
                <a:srgbClr val="FFFF00"/>
              </a:solidFill>
              <a:round/>
            </a:ln>
            <a:effectLst/>
          </c:spPr>
          <c:marker>
            <c:symbol val="none"/>
          </c:marker>
          <c:cat>
            <c:strRef>
              <c:f>Hoja1!$A$2:$A$14</c:f>
              <c:strCache>
                <c:ptCount val="13"/>
                <c:pt idx="0">
                  <c:v>Argentina</c:v>
                </c:pt>
                <c:pt idx="1">
                  <c:v>Boliia</c:v>
                </c:pt>
                <c:pt idx="2">
                  <c:v>Chile</c:v>
                </c:pt>
                <c:pt idx="3">
                  <c:v>Colombia</c:v>
                </c:pt>
                <c:pt idx="4">
                  <c:v>Costa Rica</c:v>
                </c:pt>
                <c:pt idx="5">
                  <c:v>Ecuador</c:v>
                </c:pt>
                <c:pt idx="6">
                  <c:v>Guatemala</c:v>
                </c:pt>
                <c:pt idx="7">
                  <c:v>México</c:v>
                </c:pt>
                <c:pt idx="8">
                  <c:v>Panamá</c:v>
                </c:pt>
                <c:pt idx="9">
                  <c:v>Paraguay</c:v>
                </c:pt>
                <c:pt idx="10">
                  <c:v>Perú</c:v>
                </c:pt>
                <c:pt idx="11">
                  <c:v>Rep.Dominicana</c:v>
                </c:pt>
                <c:pt idx="12">
                  <c:v>Venezuela</c:v>
                </c:pt>
              </c:strCache>
            </c:strRef>
          </c:cat>
          <c:val>
            <c:numRef>
              <c:f>Hoja1!$D$2:$D$14</c:f>
              <c:numCache>
                <c:formatCode>General</c:formatCode>
                <c:ptCount val="13"/>
                <c:pt idx="0">
                  <c:v>0.23</c:v>
                </c:pt>
                <c:pt idx="1">
                  <c:v>0.25</c:v>
                </c:pt>
                <c:pt idx="2">
                  <c:v>0.61</c:v>
                </c:pt>
                <c:pt idx="3">
                  <c:v>0.51</c:v>
                </c:pt>
                <c:pt idx="4">
                  <c:v>0.79</c:v>
                </c:pt>
                <c:pt idx="5">
                  <c:v>0.46</c:v>
                </c:pt>
                <c:pt idx="6">
                  <c:v>0.48</c:v>
                </c:pt>
                <c:pt idx="7">
                  <c:v>0.33</c:v>
                </c:pt>
                <c:pt idx="8">
                  <c:v>0.36</c:v>
                </c:pt>
                <c:pt idx="9">
                  <c:v>0.53</c:v>
                </c:pt>
                <c:pt idx="10">
                  <c:v>0.42</c:v>
                </c:pt>
                <c:pt idx="11">
                  <c:v>0.21</c:v>
                </c:pt>
                <c:pt idx="12">
                  <c:v>0.06</c:v>
                </c:pt>
              </c:numCache>
            </c:numRef>
          </c:val>
          <c:smooth val="0"/>
          <c:extLst>
            <c:ext xmlns:c16="http://schemas.microsoft.com/office/drawing/2014/chart" uri="{C3380CC4-5D6E-409C-BE32-E72D297353CC}">
              <c16:uniqueId val="{00000002-2D83-4C22-9A44-6E5C6F35750C}"/>
            </c:ext>
          </c:extLst>
        </c:ser>
        <c:ser>
          <c:idx val="3"/>
          <c:order val="3"/>
          <c:tx>
            <c:strRef>
              <c:f>Hoja1!$E$1</c:f>
              <c:strCache>
                <c:ptCount val="1"/>
                <c:pt idx="0">
                  <c:v>Participación Ciudadana</c:v>
                </c:pt>
              </c:strCache>
            </c:strRef>
          </c:tx>
          <c:spPr>
            <a:ln w="28575" cap="rnd">
              <a:solidFill>
                <a:srgbClr val="FF0000"/>
              </a:solidFill>
              <a:round/>
            </a:ln>
            <a:effectLst/>
          </c:spPr>
          <c:marker>
            <c:symbol val="none"/>
          </c:marker>
          <c:cat>
            <c:strRef>
              <c:f>Hoja1!$A$2:$A$14</c:f>
              <c:strCache>
                <c:ptCount val="13"/>
                <c:pt idx="0">
                  <c:v>Argentina</c:v>
                </c:pt>
                <c:pt idx="1">
                  <c:v>Boliia</c:v>
                </c:pt>
                <c:pt idx="2">
                  <c:v>Chile</c:v>
                </c:pt>
                <c:pt idx="3">
                  <c:v>Colombia</c:v>
                </c:pt>
                <c:pt idx="4">
                  <c:v>Costa Rica</c:v>
                </c:pt>
                <c:pt idx="5">
                  <c:v>Ecuador</c:v>
                </c:pt>
                <c:pt idx="6">
                  <c:v>Guatemala</c:v>
                </c:pt>
                <c:pt idx="7">
                  <c:v>México</c:v>
                </c:pt>
                <c:pt idx="8">
                  <c:v>Panamá</c:v>
                </c:pt>
                <c:pt idx="9">
                  <c:v>Paraguay</c:v>
                </c:pt>
                <c:pt idx="10">
                  <c:v>Perú</c:v>
                </c:pt>
                <c:pt idx="11">
                  <c:v>Rep.Dominicana</c:v>
                </c:pt>
                <c:pt idx="12">
                  <c:v>Venezuela</c:v>
                </c:pt>
              </c:strCache>
            </c:strRef>
          </c:cat>
          <c:val>
            <c:numRef>
              <c:f>Hoja1!$E$2:$E$14</c:f>
              <c:numCache>
                <c:formatCode>General</c:formatCode>
                <c:ptCount val="13"/>
                <c:pt idx="0">
                  <c:v>0.27</c:v>
                </c:pt>
                <c:pt idx="1">
                  <c:v>0.49</c:v>
                </c:pt>
                <c:pt idx="2">
                  <c:v>0.64</c:v>
                </c:pt>
                <c:pt idx="3">
                  <c:v>0.49</c:v>
                </c:pt>
                <c:pt idx="4">
                  <c:v>0.65</c:v>
                </c:pt>
                <c:pt idx="5">
                  <c:v>0.72</c:v>
                </c:pt>
                <c:pt idx="6">
                  <c:v>0.62</c:v>
                </c:pt>
                <c:pt idx="7">
                  <c:v>0.51</c:v>
                </c:pt>
                <c:pt idx="8">
                  <c:v>0.57999999999999996</c:v>
                </c:pt>
                <c:pt idx="9">
                  <c:v>0.74</c:v>
                </c:pt>
                <c:pt idx="10">
                  <c:v>0.68</c:v>
                </c:pt>
                <c:pt idx="11">
                  <c:v>0.47</c:v>
                </c:pt>
                <c:pt idx="12">
                  <c:v>0.27</c:v>
                </c:pt>
              </c:numCache>
            </c:numRef>
          </c:val>
          <c:smooth val="0"/>
          <c:extLst>
            <c:ext xmlns:c16="http://schemas.microsoft.com/office/drawing/2014/chart" uri="{C3380CC4-5D6E-409C-BE32-E72D297353CC}">
              <c16:uniqueId val="{00000003-2D83-4C22-9A44-6E5C6F35750C}"/>
            </c:ext>
          </c:extLst>
        </c:ser>
        <c:dLbls>
          <c:showLegendKey val="0"/>
          <c:showVal val="0"/>
          <c:showCatName val="0"/>
          <c:showSerName val="0"/>
          <c:showPercent val="0"/>
          <c:showBubbleSize val="0"/>
        </c:dLbls>
        <c:smooth val="0"/>
        <c:axId val="1827342024"/>
        <c:axId val="1826739096"/>
      </c:lineChart>
      <c:catAx>
        <c:axId val="1827342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6739096"/>
        <c:crosses val="autoZero"/>
        <c:auto val="1"/>
        <c:lblAlgn val="ctr"/>
        <c:lblOffset val="100"/>
        <c:noMultiLvlLbl val="0"/>
      </c:catAx>
      <c:valAx>
        <c:axId val="1826739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2734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Neg09</b:Tag>
    <b:SourceType>JournalArticle</b:SourceType>
    <b:Guid>{C64D5787-41D5-49D7-A865-78689A3AFB41}</b:Guid>
    <b:Author>
      <b:Author>
        <b:NameList>
          <b:Person>
            <b:Last>Negretto</b:Last>
            <b:First>Gabriel</b:First>
            <b:Middle>L.</b:Middle>
          </b:Person>
        </b:NameList>
      </b:Author>
    </b:Author>
    <b:Title>Paradojas de la reforma constitucional en América Latina</b:Title>
    <b:Year>2009</b:Year>
    <b:JournalName>Journal of Democracy en Español, Vol. I</b:JournalName>
    <b:Pages>38-54</b:Pages>
    <b:RefOrder>1</b:RefOrder>
  </b:Source>
</b:Sources>
</file>

<file path=customXml/itemProps1.xml><?xml version="1.0" encoding="utf-8"?>
<ds:datastoreItem xmlns:ds="http://schemas.openxmlformats.org/officeDocument/2006/customXml" ds:itemID="{A8AC5B62-CEB7-40E2-B78D-7961613A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10345</Words>
  <Characters>56898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2016-02-17T20:21:00Z</cp:lastPrinted>
  <dcterms:created xsi:type="dcterms:W3CDTF">2018-04-13T17:06:00Z</dcterms:created>
  <dcterms:modified xsi:type="dcterms:W3CDTF">2018-04-13T21:02:00Z</dcterms:modified>
</cp:coreProperties>
</file>