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5B" w:rsidRPr="00426A6F" w:rsidRDefault="005430B6" w:rsidP="00426A6F">
      <w:pPr>
        <w:pStyle w:val="NormalWeb"/>
        <w:spacing w:line="276" w:lineRule="auto"/>
        <w:jc w:val="right"/>
        <w:rPr>
          <w:rFonts w:ascii="Calibri" w:hAnsi="Calibri" w:cs="Calibri"/>
          <w:color w:val="7030A0"/>
          <w:sz w:val="36"/>
          <w:szCs w:val="36"/>
          <w:shd w:val="solid" w:color="FFFFFF" w:fill="auto"/>
          <w:lang w:val="es-MX" w:eastAsia="ru-RU"/>
        </w:rPr>
      </w:pPr>
      <w:bookmarkStart w:id="0" w:name="_Toc451977322"/>
      <w:r w:rsidRPr="00426A6F">
        <w:rPr>
          <w:rFonts w:ascii="Calibri" w:hAnsi="Calibri" w:cs="Calibri"/>
          <w:color w:val="7030A0"/>
          <w:sz w:val="36"/>
          <w:szCs w:val="36"/>
          <w:shd w:val="solid" w:color="FFFFFF" w:fill="auto"/>
          <w:lang w:val="es-MX" w:eastAsia="ru-RU"/>
        </w:rPr>
        <w:t>El Caso Claude Reyes y el derecho de acceso a la información</w:t>
      </w:r>
    </w:p>
    <w:p w:rsidR="005430B6" w:rsidRDefault="00EE3F02" w:rsidP="00426A6F">
      <w:pPr>
        <w:pStyle w:val="NormalWeb"/>
        <w:spacing w:line="276" w:lineRule="auto"/>
        <w:jc w:val="right"/>
        <w:rPr>
          <w:rFonts w:ascii="Calibri" w:hAnsi="Calibri" w:cs="Calibri"/>
          <w:i/>
          <w:color w:val="7030A0"/>
          <w:sz w:val="28"/>
          <w:szCs w:val="36"/>
          <w:shd w:val="solid" w:color="FFFFFF" w:fill="auto"/>
          <w:lang w:val="es-MX" w:eastAsia="ru-RU"/>
        </w:rPr>
      </w:pPr>
      <w:proofErr w:type="spellStart"/>
      <w:r>
        <w:rPr>
          <w:rFonts w:ascii="Calibri" w:hAnsi="Calibri" w:cs="Calibri"/>
          <w:i/>
          <w:color w:val="7030A0"/>
          <w:sz w:val="28"/>
          <w:szCs w:val="36"/>
          <w:lang w:val="es-MX"/>
        </w:rPr>
        <w:t>The</w:t>
      </w:r>
      <w:proofErr w:type="spellEnd"/>
      <w:r>
        <w:rPr>
          <w:rFonts w:ascii="Calibri" w:hAnsi="Calibri" w:cs="Calibri"/>
          <w:i/>
          <w:color w:val="7030A0"/>
          <w:sz w:val="28"/>
          <w:szCs w:val="36"/>
          <w:lang w:val="es-MX"/>
        </w:rPr>
        <w:t xml:space="preserve"> case of Claude Reyes and </w:t>
      </w:r>
      <w:proofErr w:type="spellStart"/>
      <w:r>
        <w:rPr>
          <w:rFonts w:ascii="Calibri" w:hAnsi="Calibri" w:cs="Calibri"/>
          <w:i/>
          <w:color w:val="7030A0"/>
          <w:sz w:val="28"/>
          <w:szCs w:val="36"/>
          <w:lang w:val="es-MX"/>
        </w:rPr>
        <w:t>Freedom</w:t>
      </w:r>
      <w:proofErr w:type="spellEnd"/>
      <w:r>
        <w:rPr>
          <w:rFonts w:ascii="Calibri" w:hAnsi="Calibri" w:cs="Calibri"/>
          <w:i/>
          <w:color w:val="7030A0"/>
          <w:sz w:val="28"/>
          <w:szCs w:val="36"/>
          <w:lang w:val="es-MX"/>
        </w:rPr>
        <w:t xml:space="preserve"> of </w:t>
      </w:r>
      <w:proofErr w:type="spellStart"/>
      <w:r>
        <w:rPr>
          <w:rFonts w:ascii="Calibri" w:hAnsi="Calibri" w:cs="Calibri"/>
          <w:i/>
          <w:color w:val="7030A0"/>
          <w:sz w:val="28"/>
          <w:szCs w:val="36"/>
          <w:lang w:val="es-MX"/>
        </w:rPr>
        <w:t>Information</w:t>
      </w:r>
      <w:proofErr w:type="spellEnd"/>
      <w:r>
        <w:rPr>
          <w:rFonts w:ascii="Calibri" w:hAnsi="Calibri" w:cs="Calibri"/>
          <w:i/>
          <w:color w:val="7030A0"/>
          <w:sz w:val="28"/>
          <w:szCs w:val="36"/>
          <w:lang w:val="es-MX"/>
        </w:rPr>
        <w:t xml:space="preserve"> </w:t>
      </w:r>
      <w:proofErr w:type="spellStart"/>
      <w:r>
        <w:rPr>
          <w:rFonts w:ascii="Calibri" w:hAnsi="Calibri" w:cs="Calibri"/>
          <w:i/>
          <w:color w:val="7030A0"/>
          <w:sz w:val="28"/>
          <w:szCs w:val="36"/>
          <w:lang w:val="es-MX"/>
        </w:rPr>
        <w:t>Law</w:t>
      </w:r>
      <w:proofErr w:type="spellEnd"/>
    </w:p>
    <w:p w:rsidR="00426A6F" w:rsidRDefault="00426A6F" w:rsidP="00426A6F">
      <w:pPr>
        <w:pStyle w:val="NormalWeb"/>
        <w:spacing w:line="276" w:lineRule="auto"/>
        <w:jc w:val="right"/>
        <w:rPr>
          <w:rFonts w:ascii="Calibri" w:hAnsi="Calibri" w:cs="Calibri"/>
          <w:i/>
          <w:color w:val="7030A0"/>
          <w:sz w:val="28"/>
          <w:szCs w:val="36"/>
          <w:shd w:val="solid" w:color="FFFFFF" w:fill="auto"/>
          <w:lang w:val="es-MX" w:eastAsia="ru-RU"/>
        </w:rPr>
      </w:pPr>
      <w:r w:rsidRPr="00426A6F">
        <w:rPr>
          <w:rFonts w:ascii="Calibri" w:hAnsi="Calibri" w:cs="Calibri"/>
          <w:i/>
          <w:color w:val="7030A0"/>
          <w:sz w:val="28"/>
          <w:szCs w:val="36"/>
          <w:shd w:val="solid" w:color="FFFFFF" w:fill="auto"/>
          <w:lang w:val="es-MX" w:eastAsia="ru-RU"/>
        </w:rPr>
        <w:t xml:space="preserve">O Caso Claude Reyes e do </w:t>
      </w:r>
      <w:proofErr w:type="spellStart"/>
      <w:r w:rsidRPr="00426A6F">
        <w:rPr>
          <w:rFonts w:ascii="Calibri" w:hAnsi="Calibri" w:cs="Calibri"/>
          <w:i/>
          <w:color w:val="7030A0"/>
          <w:sz w:val="28"/>
          <w:szCs w:val="36"/>
          <w:shd w:val="solid" w:color="FFFFFF" w:fill="auto"/>
          <w:lang w:val="es-MX" w:eastAsia="ru-RU"/>
        </w:rPr>
        <w:t>direito</w:t>
      </w:r>
      <w:proofErr w:type="spellEnd"/>
      <w:r w:rsidRPr="00426A6F">
        <w:rPr>
          <w:rFonts w:ascii="Calibri" w:hAnsi="Calibri" w:cs="Calibri"/>
          <w:i/>
          <w:color w:val="7030A0"/>
          <w:sz w:val="28"/>
          <w:szCs w:val="36"/>
          <w:shd w:val="solid" w:color="FFFFFF" w:fill="auto"/>
          <w:lang w:val="es-MX" w:eastAsia="ru-RU"/>
        </w:rPr>
        <w:t xml:space="preserve"> de </w:t>
      </w:r>
      <w:proofErr w:type="spellStart"/>
      <w:r w:rsidRPr="00426A6F">
        <w:rPr>
          <w:rFonts w:ascii="Calibri" w:hAnsi="Calibri" w:cs="Calibri"/>
          <w:i/>
          <w:color w:val="7030A0"/>
          <w:sz w:val="28"/>
          <w:szCs w:val="36"/>
          <w:shd w:val="solid" w:color="FFFFFF" w:fill="auto"/>
          <w:lang w:val="es-MX" w:eastAsia="ru-RU"/>
        </w:rPr>
        <w:t>acesso</w:t>
      </w:r>
      <w:proofErr w:type="spellEnd"/>
      <w:r w:rsidRPr="00426A6F">
        <w:rPr>
          <w:rFonts w:ascii="Calibri" w:hAnsi="Calibri" w:cs="Calibri"/>
          <w:i/>
          <w:color w:val="7030A0"/>
          <w:sz w:val="28"/>
          <w:szCs w:val="36"/>
          <w:shd w:val="solid" w:color="FFFFFF" w:fill="auto"/>
          <w:lang w:val="es-MX" w:eastAsia="ru-RU"/>
        </w:rPr>
        <w:t xml:space="preserve"> à </w:t>
      </w:r>
      <w:proofErr w:type="spellStart"/>
      <w:r w:rsidRPr="00426A6F">
        <w:rPr>
          <w:rFonts w:ascii="Calibri" w:hAnsi="Calibri" w:cs="Calibri"/>
          <w:i/>
          <w:color w:val="7030A0"/>
          <w:sz w:val="28"/>
          <w:szCs w:val="36"/>
          <w:shd w:val="solid" w:color="FFFFFF" w:fill="auto"/>
          <w:lang w:val="es-MX" w:eastAsia="ru-RU"/>
        </w:rPr>
        <w:t>informação</w:t>
      </w:r>
      <w:proofErr w:type="spellEnd"/>
    </w:p>
    <w:p w:rsidR="00A6067E" w:rsidRPr="00426A6F" w:rsidRDefault="00A6067E" w:rsidP="00426A6F">
      <w:pPr>
        <w:pStyle w:val="NormalWeb"/>
        <w:spacing w:line="276" w:lineRule="auto"/>
        <w:jc w:val="right"/>
        <w:rPr>
          <w:rFonts w:ascii="Calibri" w:hAnsi="Calibri" w:cs="Calibri"/>
          <w:i/>
          <w:color w:val="7030A0"/>
          <w:sz w:val="28"/>
          <w:szCs w:val="36"/>
          <w:shd w:val="solid" w:color="FFFFFF" w:fill="auto"/>
          <w:lang w:val="es-MX" w:eastAsia="ru-RU"/>
        </w:rPr>
      </w:pPr>
      <w:r w:rsidRPr="00A6067E">
        <w:rPr>
          <w:rStyle w:val="Hipervnculo"/>
          <w:b/>
          <w:color w:val="004400"/>
          <w:sz w:val="27"/>
          <w:szCs w:val="27"/>
          <w:u w:val="none"/>
        </w:rPr>
        <w:t>DOI:</w:t>
      </w:r>
      <w:r>
        <w:rPr>
          <w:rStyle w:val="apple-converted-space"/>
          <w:color w:val="111111"/>
          <w:sz w:val="27"/>
          <w:szCs w:val="27"/>
          <w:shd w:val="clear" w:color="auto" w:fill="FFFFFF"/>
        </w:rPr>
        <w:t> </w:t>
      </w:r>
      <w:hyperlink r:id="rId10" w:history="1">
        <w:r>
          <w:rPr>
            <w:rStyle w:val="Hipervnculo"/>
            <w:color w:val="004400"/>
            <w:sz w:val="27"/>
            <w:szCs w:val="27"/>
          </w:rPr>
          <w:t>http://dx.doi.org/10.23913/ricsh.v6i11.109</w:t>
        </w:r>
      </w:hyperlink>
    </w:p>
    <w:p w:rsidR="000013BA" w:rsidRDefault="00426A6F" w:rsidP="00426A6F">
      <w:pPr>
        <w:pStyle w:val="NormalWeb"/>
        <w:spacing w:line="276" w:lineRule="auto"/>
        <w:jc w:val="right"/>
        <w:rPr>
          <w:rFonts w:ascii="Arial" w:hAnsi="Arial" w:cs="Arial"/>
        </w:rPr>
      </w:pPr>
      <w:r>
        <w:rPr>
          <w:rFonts w:ascii="Arial" w:hAnsi="Arial" w:cs="Arial"/>
          <w:lang w:val="en-US"/>
        </w:rPr>
        <w:br/>
      </w:r>
      <w:r w:rsidR="00C1035B" w:rsidRPr="007F592E">
        <w:rPr>
          <w:rFonts w:ascii="Arial" w:hAnsi="Arial" w:cs="Arial"/>
          <w:lang w:val="en-US"/>
        </w:rPr>
        <w:t xml:space="preserve">                                                                                               </w:t>
      </w:r>
      <w:r w:rsidR="00C1035B" w:rsidRPr="00426A6F">
        <w:rPr>
          <w:rFonts w:ascii="Calibri" w:eastAsia="Calibri" w:hAnsi="Calibri" w:cs="Calibri"/>
          <w:b/>
          <w:lang w:val="es-ES" w:eastAsia="en-US"/>
        </w:rPr>
        <w:t>Luis Carlos Castro Vizcarra</w:t>
      </w:r>
      <w:r>
        <w:rPr>
          <w:rFonts w:ascii="Arial" w:hAnsi="Arial" w:cs="Arial"/>
        </w:rPr>
        <w:br/>
      </w:r>
      <w:r w:rsidR="000013BA" w:rsidRPr="00426A6F">
        <w:rPr>
          <w:rFonts w:ascii="Calibri" w:eastAsia="Calibri" w:hAnsi="Calibri"/>
          <w:lang w:val="es-MX" w:eastAsia="en-US"/>
        </w:rPr>
        <w:t>Facultad de Derecho Mexicali, Universidad Autónoma de Baja California</w:t>
      </w:r>
      <w:r w:rsidR="00487AA5">
        <w:rPr>
          <w:rFonts w:ascii="Calibri" w:eastAsia="Calibri" w:hAnsi="Calibri"/>
          <w:lang w:val="es-MX" w:eastAsia="en-US"/>
        </w:rPr>
        <w:t>, México</w:t>
      </w:r>
      <w:r>
        <w:rPr>
          <w:rFonts w:ascii="Arial" w:hAnsi="Arial" w:cs="Arial"/>
          <w:lang w:val="es-MX"/>
        </w:rPr>
        <w:br/>
      </w:r>
      <w:hyperlink r:id="rId11" w:history="1">
        <w:r w:rsidR="000013BA" w:rsidRPr="00426A6F">
          <w:rPr>
            <w:rFonts w:ascii="Calibri" w:hAnsi="Calibri"/>
            <w:color w:val="FF0000"/>
            <w:szCs w:val="22"/>
            <w:lang w:val="es-ES" w:eastAsia="es-ES"/>
          </w:rPr>
          <w:t>luiscarloscastro@uabc.edu.mx</w:t>
        </w:r>
      </w:hyperlink>
    </w:p>
    <w:p w:rsidR="000013BA" w:rsidRPr="00426A6F" w:rsidRDefault="005430B6" w:rsidP="00426A6F">
      <w:pPr>
        <w:pStyle w:val="NormalWeb"/>
        <w:spacing w:line="276" w:lineRule="auto"/>
        <w:jc w:val="right"/>
        <w:rPr>
          <w:rFonts w:ascii="Calibri" w:hAnsi="Calibri"/>
          <w:color w:val="FF0000"/>
          <w:szCs w:val="22"/>
          <w:lang w:val="es-ES" w:eastAsia="es-ES"/>
        </w:rPr>
      </w:pPr>
      <w:r w:rsidRPr="00426A6F">
        <w:rPr>
          <w:rFonts w:ascii="Calibri" w:eastAsia="Calibri" w:hAnsi="Calibri" w:cs="Calibri"/>
          <w:b/>
          <w:lang w:val="es-ES" w:eastAsia="en-US"/>
        </w:rPr>
        <w:t xml:space="preserve">Alejandro Sánchez </w:t>
      </w:r>
      <w:proofErr w:type="spellStart"/>
      <w:r w:rsidRPr="00426A6F">
        <w:rPr>
          <w:rFonts w:ascii="Calibri" w:eastAsia="Calibri" w:hAnsi="Calibri" w:cs="Calibri"/>
          <w:b/>
          <w:lang w:val="es-ES" w:eastAsia="en-US"/>
        </w:rPr>
        <w:t>Sánchez</w:t>
      </w:r>
      <w:proofErr w:type="spellEnd"/>
      <w:r w:rsidR="00426A6F">
        <w:rPr>
          <w:rFonts w:ascii="Arial" w:hAnsi="Arial" w:cs="Arial"/>
        </w:rPr>
        <w:br/>
      </w:r>
      <w:r w:rsidR="000013BA" w:rsidRPr="00426A6F">
        <w:rPr>
          <w:rFonts w:ascii="Calibri" w:eastAsia="Calibri" w:hAnsi="Calibri"/>
          <w:lang w:val="es-MX" w:eastAsia="en-US"/>
        </w:rPr>
        <w:t>Facultad de Ciencias Administrativas y Sociales, Universidad Autónoma de Baja California</w:t>
      </w:r>
      <w:r w:rsidR="00487AA5">
        <w:rPr>
          <w:rFonts w:ascii="Calibri" w:eastAsia="Calibri" w:hAnsi="Calibri"/>
          <w:lang w:val="es-MX" w:eastAsia="en-US"/>
        </w:rPr>
        <w:t>, México</w:t>
      </w:r>
      <w:bookmarkStart w:id="1" w:name="_GoBack"/>
      <w:bookmarkEnd w:id="1"/>
      <w:r w:rsidR="00426A6F">
        <w:rPr>
          <w:rFonts w:ascii="Arial" w:hAnsi="Arial" w:cs="Arial"/>
        </w:rPr>
        <w:br/>
      </w:r>
      <w:hyperlink r:id="rId12" w:history="1">
        <w:r w:rsidR="000013BA" w:rsidRPr="00426A6F">
          <w:rPr>
            <w:rFonts w:ascii="Calibri" w:hAnsi="Calibri"/>
            <w:color w:val="FF0000"/>
            <w:szCs w:val="22"/>
            <w:lang w:val="es-ES" w:eastAsia="es-ES"/>
          </w:rPr>
          <w:t>alexsasacc@uabc.edu.mx</w:t>
        </w:r>
      </w:hyperlink>
    </w:p>
    <w:p w:rsidR="000013BA" w:rsidRPr="00993575" w:rsidRDefault="00993575" w:rsidP="00993575">
      <w:pPr>
        <w:pStyle w:val="NormalWeb"/>
        <w:spacing w:line="360" w:lineRule="auto"/>
        <w:ind w:firstLine="3828"/>
        <w:jc w:val="right"/>
        <w:rPr>
          <w:b/>
          <w:i/>
          <w:color w:val="000000" w:themeColor="text1"/>
        </w:rPr>
      </w:pPr>
      <w:r w:rsidRPr="00993575">
        <w:rPr>
          <w:b/>
          <w:i/>
          <w:color w:val="000000" w:themeColor="text1"/>
          <w:sz w:val="20"/>
          <w:szCs w:val="23"/>
          <w:shd w:val="clear" w:color="auto" w:fill="FFFFFF"/>
        </w:rPr>
        <w:t xml:space="preserve">Él </w:t>
      </w:r>
      <w:proofErr w:type="spellStart"/>
      <w:r w:rsidRPr="00993575">
        <w:rPr>
          <w:b/>
          <w:i/>
          <w:color w:val="000000" w:themeColor="text1"/>
          <w:sz w:val="20"/>
          <w:szCs w:val="23"/>
          <w:shd w:val="clear" w:color="auto" w:fill="FFFFFF"/>
        </w:rPr>
        <w:t>Dr</w:t>
      </w:r>
      <w:proofErr w:type="spellEnd"/>
      <w:r w:rsidRPr="00993575">
        <w:rPr>
          <w:b/>
          <w:i/>
          <w:color w:val="000000" w:themeColor="text1"/>
          <w:sz w:val="20"/>
          <w:szCs w:val="23"/>
          <w:shd w:val="clear" w:color="auto" w:fill="FFFFFF"/>
        </w:rPr>
        <w:t xml:space="preserve"> Alejandr</w:t>
      </w:r>
      <w:r>
        <w:rPr>
          <w:b/>
          <w:i/>
          <w:color w:val="000000" w:themeColor="text1"/>
          <w:sz w:val="20"/>
          <w:szCs w:val="23"/>
          <w:shd w:val="clear" w:color="auto" w:fill="FFFFFF"/>
        </w:rPr>
        <w:t xml:space="preserve">o </w:t>
      </w:r>
      <w:proofErr w:type="spellStart"/>
      <w:r>
        <w:rPr>
          <w:b/>
          <w:i/>
          <w:color w:val="000000" w:themeColor="text1"/>
          <w:sz w:val="20"/>
          <w:szCs w:val="23"/>
          <w:shd w:val="clear" w:color="auto" w:fill="FFFFFF"/>
        </w:rPr>
        <w:t>Sanchez</w:t>
      </w:r>
      <w:proofErr w:type="spellEnd"/>
      <w:r>
        <w:rPr>
          <w:b/>
          <w:i/>
          <w:color w:val="000000" w:themeColor="text1"/>
          <w:sz w:val="20"/>
          <w:szCs w:val="23"/>
          <w:shd w:val="clear" w:color="auto" w:fill="FFFFFF"/>
        </w:rPr>
        <w:t xml:space="preserve"> </w:t>
      </w:r>
      <w:proofErr w:type="spellStart"/>
      <w:r>
        <w:rPr>
          <w:b/>
          <w:i/>
          <w:color w:val="000000" w:themeColor="text1"/>
          <w:sz w:val="20"/>
          <w:szCs w:val="23"/>
          <w:shd w:val="clear" w:color="auto" w:fill="FFFFFF"/>
        </w:rPr>
        <w:t>Sanchez</w:t>
      </w:r>
      <w:proofErr w:type="spellEnd"/>
      <w:r>
        <w:rPr>
          <w:b/>
          <w:i/>
          <w:color w:val="000000" w:themeColor="text1"/>
          <w:sz w:val="20"/>
          <w:szCs w:val="23"/>
          <w:shd w:val="clear" w:color="auto" w:fill="FFFFFF"/>
        </w:rPr>
        <w:t xml:space="preserve"> (coautor) es </w:t>
      </w:r>
      <w:r w:rsidRPr="00993575">
        <w:rPr>
          <w:b/>
          <w:i/>
          <w:color w:val="000000" w:themeColor="text1"/>
          <w:sz w:val="20"/>
          <w:szCs w:val="23"/>
          <w:shd w:val="clear" w:color="auto" w:fill="FFFFFF"/>
        </w:rPr>
        <w:t>director de tesis (Luis Carlos Castro Vizcarra)</w:t>
      </w:r>
    </w:p>
    <w:p w:rsidR="00266EFC" w:rsidRPr="00426A6F" w:rsidRDefault="00266EFC" w:rsidP="00C1035B">
      <w:pPr>
        <w:spacing w:line="360" w:lineRule="auto"/>
        <w:rPr>
          <w:rFonts w:ascii="Calibri" w:hAnsi="Calibri" w:cs="Calibri"/>
          <w:color w:val="7030A0"/>
          <w:sz w:val="28"/>
          <w:szCs w:val="28"/>
        </w:rPr>
      </w:pPr>
      <w:r w:rsidRPr="00426A6F">
        <w:rPr>
          <w:rFonts w:ascii="Calibri" w:hAnsi="Calibri" w:cs="Calibri"/>
          <w:color w:val="7030A0"/>
          <w:sz w:val="28"/>
          <w:szCs w:val="28"/>
        </w:rPr>
        <w:t xml:space="preserve">Resumen </w:t>
      </w:r>
    </w:p>
    <w:p w:rsidR="00266EFC" w:rsidRPr="00426A6F" w:rsidRDefault="00266EFC" w:rsidP="00C1035B">
      <w:pPr>
        <w:spacing w:line="360" w:lineRule="auto"/>
        <w:jc w:val="both"/>
      </w:pPr>
      <w:r w:rsidRPr="00426A6F">
        <w:t>El propósito de este trabajo e</w:t>
      </w:r>
      <w:r w:rsidR="0010600F" w:rsidRPr="00426A6F">
        <w:t>s</w:t>
      </w:r>
      <w:r w:rsidRPr="00426A6F">
        <w:t xml:space="preserve"> comprobar </w:t>
      </w:r>
      <w:r w:rsidR="0010600F" w:rsidRPr="00426A6F">
        <w:t>si</w:t>
      </w:r>
      <w:r w:rsidRPr="00426A6F">
        <w:t xml:space="preserve"> el Derecho de Acceso a la Información es un derecho humano, p</w:t>
      </w:r>
      <w:r w:rsidR="0010600F" w:rsidRPr="00426A6F">
        <w:t>ara lo cual</w:t>
      </w:r>
      <w:r w:rsidRPr="00426A6F">
        <w:t xml:space="preserve"> se </w:t>
      </w:r>
      <w:r w:rsidR="0010600F" w:rsidRPr="00426A6F">
        <w:t>d</w:t>
      </w:r>
      <w:r w:rsidR="00D965AF" w:rsidRPr="00426A6F">
        <w:t>an</w:t>
      </w:r>
      <w:r w:rsidR="0010600F" w:rsidRPr="00426A6F">
        <w:t xml:space="preserve"> las definiciones de d</w:t>
      </w:r>
      <w:r w:rsidRPr="00426A6F">
        <w:t xml:space="preserve">erechos </w:t>
      </w:r>
      <w:r w:rsidR="0010600F" w:rsidRPr="00426A6F">
        <w:t>h</w:t>
      </w:r>
      <w:r w:rsidRPr="00426A6F">
        <w:t>umanos</w:t>
      </w:r>
      <w:r w:rsidR="00D965AF" w:rsidRPr="00426A6F">
        <w:t xml:space="preserve"> y</w:t>
      </w:r>
      <w:r w:rsidRPr="00426A6F">
        <w:t xml:space="preserve"> </w:t>
      </w:r>
      <w:r w:rsidR="0010600F" w:rsidRPr="00426A6F">
        <w:t>d</w:t>
      </w:r>
      <w:r w:rsidRPr="00426A6F">
        <w:t xml:space="preserve">erecho de </w:t>
      </w:r>
      <w:r w:rsidR="0010600F" w:rsidRPr="00426A6F">
        <w:t>a</w:t>
      </w:r>
      <w:r w:rsidRPr="00426A6F">
        <w:t xml:space="preserve">cceso a la </w:t>
      </w:r>
      <w:r w:rsidR="0010600F" w:rsidRPr="00426A6F">
        <w:t>i</w:t>
      </w:r>
      <w:r w:rsidRPr="00426A6F">
        <w:t>nformación pública</w:t>
      </w:r>
      <w:r w:rsidR="00D965AF" w:rsidRPr="00426A6F">
        <w:t>,</w:t>
      </w:r>
      <w:r w:rsidRPr="00426A6F">
        <w:t xml:space="preserve"> y </w:t>
      </w:r>
      <w:r w:rsidR="00D965AF" w:rsidRPr="00426A6F">
        <w:t xml:space="preserve">a la vez </w:t>
      </w:r>
      <w:r w:rsidR="0010600F" w:rsidRPr="00426A6F">
        <w:t>se</w:t>
      </w:r>
      <w:r w:rsidRPr="00426A6F">
        <w:t xml:space="preserve"> </w:t>
      </w:r>
      <w:r w:rsidR="0010600F" w:rsidRPr="00426A6F">
        <w:t>tom</w:t>
      </w:r>
      <w:r w:rsidR="00D965AF" w:rsidRPr="00426A6F">
        <w:t>a</w:t>
      </w:r>
      <w:r w:rsidR="0010600F" w:rsidRPr="00426A6F">
        <w:t xml:space="preserve"> en cuenta</w:t>
      </w:r>
      <w:r w:rsidRPr="00426A6F">
        <w:t xml:space="preserve"> </w:t>
      </w:r>
      <w:r w:rsidR="0010600F" w:rsidRPr="00426A6F">
        <w:t xml:space="preserve">la </w:t>
      </w:r>
      <w:r w:rsidRPr="00426A6F">
        <w:t>opini</w:t>
      </w:r>
      <w:r w:rsidR="0010600F" w:rsidRPr="00426A6F">
        <w:t xml:space="preserve">ón </w:t>
      </w:r>
      <w:r w:rsidRPr="00426A6F">
        <w:t xml:space="preserve">de la </w:t>
      </w:r>
      <w:r w:rsidR="0010600F" w:rsidRPr="00426A6F">
        <w:t>C</w:t>
      </w:r>
      <w:r w:rsidRPr="00426A6F">
        <w:t xml:space="preserve">orte </w:t>
      </w:r>
      <w:r w:rsidR="0010600F" w:rsidRPr="00426A6F">
        <w:t>I</w:t>
      </w:r>
      <w:r w:rsidRPr="00426A6F">
        <w:t xml:space="preserve">nteramericana de Derechos Humanos, jurisprudencia </w:t>
      </w:r>
      <w:r w:rsidR="0010600F" w:rsidRPr="00426A6F">
        <w:t>válida en</w:t>
      </w:r>
      <w:r w:rsidRPr="00426A6F">
        <w:t xml:space="preserve"> nuestro sistema jurídico. El caso más importante que se encontró es el de Claude Reyes vs Chile, </w:t>
      </w:r>
      <w:r w:rsidR="00835493" w:rsidRPr="00426A6F">
        <w:t>parte</w:t>
      </w:r>
      <w:r w:rsidRPr="00426A6F">
        <w:t xml:space="preserve"> central </w:t>
      </w:r>
      <w:r w:rsidR="00D965AF" w:rsidRPr="00426A6F">
        <w:t>de</w:t>
      </w:r>
      <w:r w:rsidRPr="00426A6F">
        <w:t xml:space="preserve"> esta investigación</w:t>
      </w:r>
      <w:r w:rsidR="00800975" w:rsidRPr="00426A6F">
        <w:t>,</w:t>
      </w:r>
      <w:r w:rsidRPr="00426A6F">
        <w:t xml:space="preserve"> donde se estableció que el derecho de acceso a la información es un derecho humano por sí solo</w:t>
      </w:r>
      <w:r w:rsidR="00800975" w:rsidRPr="00426A6F">
        <w:t>. E</w:t>
      </w:r>
      <w:r w:rsidR="00835493" w:rsidRPr="00426A6F">
        <w:t>n consecuencia</w:t>
      </w:r>
      <w:r w:rsidR="00D965AF" w:rsidRPr="00426A6F">
        <w:t>,</w:t>
      </w:r>
      <w:r w:rsidRPr="00426A6F">
        <w:t xml:space="preserve"> la Corte Interamericana </w:t>
      </w:r>
      <w:r w:rsidR="00800975" w:rsidRPr="00426A6F">
        <w:t xml:space="preserve">fue </w:t>
      </w:r>
      <w:r w:rsidRPr="00426A6F">
        <w:t xml:space="preserve">el primer organismo internacional en </w:t>
      </w:r>
      <w:r w:rsidR="00D965AF" w:rsidRPr="00426A6F">
        <w:t>reconocerlo</w:t>
      </w:r>
      <w:r w:rsidRPr="00426A6F">
        <w:t xml:space="preserve"> en una sentencia. </w:t>
      </w:r>
    </w:p>
    <w:p w:rsidR="007F592E" w:rsidRPr="00C1035B" w:rsidRDefault="007F592E" w:rsidP="007F592E">
      <w:pPr>
        <w:spacing w:line="360" w:lineRule="auto"/>
        <w:jc w:val="both"/>
        <w:rPr>
          <w:rFonts w:ascii="Arial" w:hAnsi="Arial" w:cs="Arial"/>
          <w:lang w:val="es-MX"/>
        </w:rPr>
      </w:pPr>
      <w:r w:rsidRPr="00426A6F">
        <w:rPr>
          <w:rFonts w:ascii="Calibri" w:hAnsi="Calibri" w:cs="Calibri"/>
          <w:color w:val="7030A0"/>
          <w:sz w:val="28"/>
          <w:szCs w:val="28"/>
        </w:rPr>
        <w:t>Palabras clave:</w:t>
      </w:r>
      <w:r w:rsidRPr="00C1035B">
        <w:rPr>
          <w:rFonts w:ascii="Arial" w:hAnsi="Arial" w:cs="Arial"/>
        </w:rPr>
        <w:t xml:space="preserve"> </w:t>
      </w:r>
      <w:r w:rsidR="00ED25E1" w:rsidRPr="00426A6F">
        <w:t>a</w:t>
      </w:r>
      <w:r w:rsidRPr="00426A6F">
        <w:t xml:space="preserve">cceso, </w:t>
      </w:r>
      <w:r w:rsidR="00ED25E1" w:rsidRPr="00426A6F">
        <w:t>i</w:t>
      </w:r>
      <w:r w:rsidRPr="00426A6F">
        <w:t xml:space="preserve">nformación, </w:t>
      </w:r>
      <w:r w:rsidR="00ED25E1" w:rsidRPr="00426A6F">
        <w:t>d</w:t>
      </w:r>
      <w:r w:rsidRPr="00426A6F">
        <w:t xml:space="preserve">erecho </w:t>
      </w:r>
      <w:r w:rsidR="00ED25E1" w:rsidRPr="00426A6F">
        <w:t>h</w:t>
      </w:r>
      <w:r w:rsidRPr="00426A6F">
        <w:t>umano, Claude Reyes</w:t>
      </w:r>
      <w:r w:rsidR="00ED25E1" w:rsidRPr="00426A6F">
        <w:t>.</w:t>
      </w:r>
    </w:p>
    <w:p w:rsidR="007F592E" w:rsidRPr="007F592E" w:rsidRDefault="007F592E" w:rsidP="00C1035B">
      <w:pPr>
        <w:spacing w:line="360" w:lineRule="auto"/>
        <w:jc w:val="both"/>
        <w:rPr>
          <w:rFonts w:ascii="Arial" w:hAnsi="Arial" w:cs="Arial"/>
          <w:lang w:val="es-MX"/>
        </w:rPr>
      </w:pPr>
    </w:p>
    <w:p w:rsidR="007F592E" w:rsidRPr="00426A6F" w:rsidRDefault="007F592E" w:rsidP="00C1035B">
      <w:pPr>
        <w:spacing w:line="360" w:lineRule="auto"/>
        <w:jc w:val="both"/>
        <w:rPr>
          <w:rFonts w:ascii="Calibri" w:hAnsi="Calibri" w:cs="Calibri"/>
          <w:color w:val="7030A0"/>
          <w:sz w:val="28"/>
          <w:szCs w:val="28"/>
        </w:rPr>
      </w:pPr>
      <w:proofErr w:type="spellStart"/>
      <w:r w:rsidRPr="00426A6F">
        <w:rPr>
          <w:rFonts w:ascii="Calibri" w:hAnsi="Calibri" w:cs="Calibri"/>
          <w:color w:val="7030A0"/>
          <w:sz w:val="28"/>
          <w:szCs w:val="28"/>
        </w:rPr>
        <w:t>Abstract</w:t>
      </w:r>
      <w:proofErr w:type="spellEnd"/>
    </w:p>
    <w:p w:rsidR="00EE3F02" w:rsidRDefault="00EE3F02" w:rsidP="00EE3F02">
      <w:pPr>
        <w:spacing w:line="360" w:lineRule="auto"/>
        <w:jc w:val="both"/>
        <w:rPr>
          <w:rFonts w:ascii="Arial" w:hAnsi="Arial" w:cs="Arial"/>
          <w:lang w:val="en-US"/>
        </w:rPr>
      </w:pPr>
      <w:proofErr w:type="spellStart"/>
      <w:r>
        <w:t>The</w:t>
      </w:r>
      <w:proofErr w:type="spellEnd"/>
      <w:r>
        <w:t xml:space="preserve"> </w:t>
      </w:r>
      <w:proofErr w:type="spellStart"/>
      <w:r>
        <w:t>purpose</w:t>
      </w:r>
      <w:proofErr w:type="spellEnd"/>
      <w:r>
        <w:t xml:space="preserve"> of </w:t>
      </w:r>
      <w:proofErr w:type="spellStart"/>
      <w:r>
        <w:t>this</w:t>
      </w:r>
      <w:proofErr w:type="spellEnd"/>
      <w:r>
        <w:t xml:space="preserve"> </w:t>
      </w:r>
      <w:proofErr w:type="spellStart"/>
      <w:r>
        <w:t>work</w:t>
      </w:r>
      <w:proofErr w:type="spellEnd"/>
      <w:r>
        <w:t xml:space="preserve"> </w:t>
      </w:r>
      <w:proofErr w:type="spellStart"/>
      <w:r>
        <w:t>is</w:t>
      </w:r>
      <w:proofErr w:type="spellEnd"/>
      <w:r>
        <w:t xml:space="preserve"> to </w:t>
      </w:r>
      <w:proofErr w:type="spellStart"/>
      <w:r>
        <w:t>check</w:t>
      </w:r>
      <w:proofErr w:type="spellEnd"/>
      <w:r>
        <w:t xml:space="preserve"> </w:t>
      </w:r>
      <w:proofErr w:type="spellStart"/>
      <w:r>
        <w:t>if</w:t>
      </w:r>
      <w:proofErr w:type="spellEnd"/>
      <w:r>
        <w:t xml:space="preserve"> </w:t>
      </w:r>
      <w:proofErr w:type="spellStart"/>
      <w:r>
        <w:t>the</w:t>
      </w:r>
      <w:proofErr w:type="spellEnd"/>
      <w:r>
        <w:t xml:space="preserve"> </w:t>
      </w:r>
      <w:proofErr w:type="spellStart"/>
      <w:r>
        <w:t>Freedom</w:t>
      </w:r>
      <w:proofErr w:type="spellEnd"/>
      <w:r>
        <w:t xml:space="preserve"> of </w:t>
      </w:r>
      <w:proofErr w:type="spellStart"/>
      <w:r>
        <w:t>Information</w:t>
      </w:r>
      <w:proofErr w:type="spellEnd"/>
      <w:r>
        <w:t xml:space="preserve"> </w:t>
      </w:r>
      <w:proofErr w:type="spellStart"/>
      <w:r>
        <w:t>Law</w:t>
      </w:r>
      <w:proofErr w:type="spellEnd"/>
      <w:r>
        <w:t xml:space="preserve"> </w:t>
      </w:r>
      <w:proofErr w:type="spellStart"/>
      <w:r>
        <w:t>is</w:t>
      </w:r>
      <w:proofErr w:type="spellEnd"/>
      <w:r>
        <w:t xml:space="preserve"> a Human </w:t>
      </w:r>
      <w:proofErr w:type="spellStart"/>
      <w:r>
        <w:t>Right</w:t>
      </w:r>
      <w:proofErr w:type="spellEnd"/>
      <w:r>
        <w:t xml:space="preserve">, to do </w:t>
      </w:r>
      <w:proofErr w:type="spellStart"/>
      <w:r>
        <w:t>so</w:t>
      </w:r>
      <w:proofErr w:type="spellEnd"/>
      <w:r>
        <w:t xml:space="preserve">, </w:t>
      </w:r>
      <w:proofErr w:type="spellStart"/>
      <w:r>
        <w:t>the</w:t>
      </w:r>
      <w:proofErr w:type="spellEnd"/>
      <w:r>
        <w:t xml:space="preserve"> </w:t>
      </w:r>
      <w:proofErr w:type="spellStart"/>
      <w:r>
        <w:t>definitions</w:t>
      </w:r>
      <w:proofErr w:type="spellEnd"/>
      <w:r>
        <w:t xml:space="preserve"> of Human </w:t>
      </w:r>
      <w:proofErr w:type="spellStart"/>
      <w:r>
        <w:t>Rights</w:t>
      </w:r>
      <w:proofErr w:type="spellEnd"/>
      <w:r>
        <w:t xml:space="preserve"> and </w:t>
      </w:r>
      <w:proofErr w:type="spellStart"/>
      <w:r>
        <w:t>Freedom</w:t>
      </w:r>
      <w:proofErr w:type="spellEnd"/>
      <w:r>
        <w:t xml:space="preserve"> of </w:t>
      </w:r>
      <w:proofErr w:type="spellStart"/>
      <w:r>
        <w:t>Information</w:t>
      </w:r>
      <w:proofErr w:type="spellEnd"/>
      <w:r>
        <w:t xml:space="preserve"> </w:t>
      </w:r>
      <w:proofErr w:type="spellStart"/>
      <w:r>
        <w:t>Law</w:t>
      </w:r>
      <w:proofErr w:type="spellEnd"/>
      <w:r>
        <w:t xml:space="preserve"> are </w:t>
      </w:r>
      <w:proofErr w:type="spellStart"/>
      <w:r>
        <w:t>given</w:t>
      </w:r>
      <w:proofErr w:type="spellEnd"/>
      <w:r>
        <w:t xml:space="preserve">, and at </w:t>
      </w:r>
      <w:proofErr w:type="spellStart"/>
      <w:r>
        <w:t>the</w:t>
      </w:r>
      <w:proofErr w:type="spellEnd"/>
      <w:r>
        <w:t xml:space="preserve"> </w:t>
      </w:r>
      <w:proofErr w:type="spellStart"/>
      <w:r>
        <w:t>same</w:t>
      </w:r>
      <w:proofErr w:type="spellEnd"/>
      <w:r>
        <w:t xml:space="preserve"> </w:t>
      </w:r>
      <w:r>
        <w:lastRenderedPageBreak/>
        <w:t xml:space="preserve">time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the</w:t>
      </w:r>
      <w:proofErr w:type="spellEnd"/>
      <w:r>
        <w:t xml:space="preserve"> </w:t>
      </w:r>
      <w:proofErr w:type="spellStart"/>
      <w:r>
        <w:t>opinion</w:t>
      </w:r>
      <w:proofErr w:type="spellEnd"/>
      <w:r>
        <w:t xml:space="preserve"> of </w:t>
      </w:r>
      <w:proofErr w:type="spellStart"/>
      <w:r>
        <w:t>the</w:t>
      </w:r>
      <w:proofErr w:type="spellEnd"/>
      <w:r>
        <w:t xml:space="preserve"> Inter-American </w:t>
      </w:r>
      <w:proofErr w:type="spellStart"/>
      <w:r>
        <w:t>Court</w:t>
      </w:r>
      <w:proofErr w:type="spellEnd"/>
      <w:r>
        <w:t xml:space="preserve"> of Human </w:t>
      </w:r>
      <w:proofErr w:type="spellStart"/>
      <w:r>
        <w:t>Rights</w:t>
      </w:r>
      <w:proofErr w:type="spellEnd"/>
      <w:r>
        <w:t xml:space="preserve">, </w:t>
      </w:r>
      <w:proofErr w:type="spellStart"/>
      <w:r>
        <w:t>valid</w:t>
      </w:r>
      <w:proofErr w:type="spellEnd"/>
      <w:r>
        <w:t xml:space="preserve"> </w:t>
      </w:r>
      <w:proofErr w:type="spellStart"/>
      <w:r>
        <w:t>law</w:t>
      </w:r>
      <w:proofErr w:type="spellEnd"/>
      <w:r>
        <w:t xml:space="preserve"> in </w:t>
      </w:r>
      <w:proofErr w:type="spellStart"/>
      <w:r>
        <w:t>our</w:t>
      </w:r>
      <w:proofErr w:type="spellEnd"/>
      <w:r>
        <w:t xml:space="preserve"> legal </w:t>
      </w:r>
      <w:proofErr w:type="spellStart"/>
      <w:r>
        <w:t>system</w:t>
      </w:r>
      <w:proofErr w:type="spellEnd"/>
      <w:r>
        <w:t xml:space="preserve">. </w:t>
      </w:r>
      <w:proofErr w:type="spellStart"/>
      <w:r>
        <w:t>The</w:t>
      </w:r>
      <w:proofErr w:type="spellEnd"/>
      <w:r>
        <w:t xml:space="preserve"> </w:t>
      </w:r>
      <w:proofErr w:type="spellStart"/>
      <w:r>
        <w:t>most</w:t>
      </w:r>
      <w:proofErr w:type="spellEnd"/>
      <w:r>
        <w:t xml:space="preserve"> </w:t>
      </w:r>
      <w:proofErr w:type="spellStart"/>
      <w:r>
        <w:t>important</w:t>
      </w:r>
      <w:proofErr w:type="spellEnd"/>
      <w:r>
        <w:t xml:space="preserve"> case </w:t>
      </w:r>
      <w:proofErr w:type="spellStart"/>
      <w:r>
        <w:t>that</w:t>
      </w:r>
      <w:proofErr w:type="spellEnd"/>
      <w:r>
        <w:t xml:space="preserve"> </w:t>
      </w:r>
      <w:proofErr w:type="spellStart"/>
      <w:r>
        <w:t>was</w:t>
      </w:r>
      <w:proofErr w:type="spellEnd"/>
      <w:r>
        <w:t xml:space="preserve"> </w:t>
      </w:r>
      <w:proofErr w:type="spellStart"/>
      <w:r>
        <w:t>found</w:t>
      </w:r>
      <w:proofErr w:type="spellEnd"/>
      <w:r>
        <w:t xml:space="preserve"> </w:t>
      </w:r>
      <w:proofErr w:type="spellStart"/>
      <w:r>
        <w:t>is</w:t>
      </w:r>
      <w:proofErr w:type="spellEnd"/>
      <w:r>
        <w:t xml:space="preserve"> </w:t>
      </w:r>
      <w:proofErr w:type="spellStart"/>
      <w:r>
        <w:t>that</w:t>
      </w:r>
      <w:proofErr w:type="spellEnd"/>
      <w:r>
        <w:t xml:space="preserve"> of Claude Reyes vs Chile, central </w:t>
      </w:r>
      <w:proofErr w:type="spellStart"/>
      <w:r>
        <w:t>part</w:t>
      </w:r>
      <w:proofErr w:type="spellEnd"/>
      <w:r>
        <w:t xml:space="preserve"> of </w:t>
      </w:r>
      <w:proofErr w:type="spellStart"/>
      <w:r>
        <w:t>this</w:t>
      </w:r>
      <w:proofErr w:type="spellEnd"/>
      <w:r>
        <w:t xml:space="preserve"> </w:t>
      </w:r>
      <w:proofErr w:type="spellStart"/>
      <w:r>
        <w:t>research</w:t>
      </w:r>
      <w:proofErr w:type="spellEnd"/>
      <w:r>
        <w:t xml:space="preserve">, </w:t>
      </w:r>
      <w:proofErr w:type="spellStart"/>
      <w:r>
        <w:t>where</w:t>
      </w:r>
      <w:proofErr w:type="spellEnd"/>
      <w:r>
        <w:t xml:space="preserve"> </w:t>
      </w:r>
      <w:proofErr w:type="spellStart"/>
      <w:r>
        <w:t>it</w:t>
      </w:r>
      <w:proofErr w:type="spellEnd"/>
      <w:r>
        <w:t xml:space="preserve"> </w:t>
      </w:r>
      <w:proofErr w:type="spellStart"/>
      <w:r>
        <w:t>is</w:t>
      </w:r>
      <w:proofErr w:type="spellEnd"/>
      <w:r>
        <w:t xml:space="preserve"> </w:t>
      </w:r>
      <w:proofErr w:type="spellStart"/>
      <w:r>
        <w:t>established</w:t>
      </w:r>
      <w:proofErr w:type="spellEnd"/>
      <w:r>
        <w:t xml:space="preserve"> </w:t>
      </w:r>
      <w:proofErr w:type="spellStart"/>
      <w:r>
        <w:t>that</w:t>
      </w:r>
      <w:proofErr w:type="spellEnd"/>
      <w:r>
        <w:t xml:space="preserve"> </w:t>
      </w:r>
      <w:proofErr w:type="spellStart"/>
      <w:r>
        <w:t>the</w:t>
      </w:r>
      <w:proofErr w:type="spellEnd"/>
      <w:r>
        <w:t xml:space="preserve"> </w:t>
      </w:r>
      <w:proofErr w:type="spellStart"/>
      <w:r>
        <w:t>Freedom</w:t>
      </w:r>
      <w:proofErr w:type="spellEnd"/>
      <w:r>
        <w:t xml:space="preserve"> of </w:t>
      </w:r>
      <w:proofErr w:type="spellStart"/>
      <w:r>
        <w:t>Information</w:t>
      </w:r>
      <w:proofErr w:type="spellEnd"/>
      <w:r>
        <w:t xml:space="preserve"> </w:t>
      </w:r>
      <w:proofErr w:type="spellStart"/>
      <w:r>
        <w:t>Law</w:t>
      </w:r>
      <w:proofErr w:type="spellEnd"/>
      <w:r>
        <w:t xml:space="preserve"> </w:t>
      </w:r>
      <w:proofErr w:type="spellStart"/>
      <w:r>
        <w:t>is</w:t>
      </w:r>
      <w:proofErr w:type="spellEnd"/>
      <w:r>
        <w:t xml:space="preserve"> a human </w:t>
      </w:r>
      <w:proofErr w:type="spellStart"/>
      <w:r>
        <w:t>right</w:t>
      </w:r>
      <w:proofErr w:type="spellEnd"/>
      <w:r>
        <w:t xml:space="preserve"> </w:t>
      </w:r>
      <w:proofErr w:type="spellStart"/>
      <w:r>
        <w:t>by</w:t>
      </w:r>
      <w:proofErr w:type="spellEnd"/>
      <w:r>
        <w:t xml:space="preserve"> </w:t>
      </w:r>
      <w:proofErr w:type="spellStart"/>
      <w:r>
        <w:t>itself</w:t>
      </w:r>
      <w:proofErr w:type="spellEnd"/>
      <w:r>
        <w:t xml:space="preserve">. As a </w:t>
      </w:r>
      <w:proofErr w:type="spellStart"/>
      <w:r>
        <w:t>result</w:t>
      </w:r>
      <w:proofErr w:type="spellEnd"/>
      <w:r>
        <w:t xml:space="preserve">, </w:t>
      </w:r>
      <w:proofErr w:type="spellStart"/>
      <w:r>
        <w:t>the</w:t>
      </w:r>
      <w:proofErr w:type="spellEnd"/>
      <w:r>
        <w:t xml:space="preserve"> Inter-American </w:t>
      </w:r>
      <w:proofErr w:type="spellStart"/>
      <w:r>
        <w:t>Court</w:t>
      </w:r>
      <w:proofErr w:type="spellEnd"/>
      <w:r>
        <w:t xml:space="preserve"> </w:t>
      </w:r>
      <w:proofErr w:type="spellStart"/>
      <w:r>
        <w:t>was</w:t>
      </w:r>
      <w:proofErr w:type="spellEnd"/>
      <w:r>
        <w:t xml:space="preserve"> </w:t>
      </w:r>
      <w:proofErr w:type="spellStart"/>
      <w:r>
        <w:t>the</w:t>
      </w:r>
      <w:proofErr w:type="spellEnd"/>
      <w:r>
        <w:t xml:space="preserve"> </w:t>
      </w:r>
      <w:proofErr w:type="spellStart"/>
      <w:r>
        <w:t>first</w:t>
      </w:r>
      <w:proofErr w:type="spellEnd"/>
      <w:r>
        <w:t xml:space="preserve"> </w:t>
      </w:r>
      <w:proofErr w:type="spellStart"/>
      <w:r>
        <w:t>international</w:t>
      </w:r>
      <w:proofErr w:type="spellEnd"/>
      <w:r>
        <w:t xml:space="preserve"> </w:t>
      </w:r>
      <w:proofErr w:type="spellStart"/>
      <w:r>
        <w:t>agency</w:t>
      </w:r>
      <w:proofErr w:type="spellEnd"/>
      <w:r>
        <w:t xml:space="preserve"> to </w:t>
      </w:r>
      <w:proofErr w:type="spellStart"/>
      <w:r>
        <w:t>recognize</w:t>
      </w:r>
      <w:proofErr w:type="spellEnd"/>
      <w:r>
        <w:t xml:space="preserve"> </w:t>
      </w:r>
      <w:proofErr w:type="spellStart"/>
      <w:r>
        <w:t>it</w:t>
      </w:r>
      <w:proofErr w:type="spellEnd"/>
      <w:r>
        <w:t xml:space="preserve"> in a </w:t>
      </w:r>
      <w:proofErr w:type="spellStart"/>
      <w:r>
        <w:t>sentence</w:t>
      </w:r>
      <w:proofErr w:type="spellEnd"/>
      <w:r>
        <w:t>.</w:t>
      </w:r>
    </w:p>
    <w:p w:rsidR="00266EFC" w:rsidRDefault="00EE3F02" w:rsidP="00EE3F02">
      <w:pPr>
        <w:spacing w:line="360" w:lineRule="auto"/>
      </w:pPr>
      <w:r>
        <w:rPr>
          <w:rFonts w:ascii="Calibri" w:hAnsi="Calibri" w:cs="Calibri"/>
          <w:color w:val="7030A0"/>
          <w:sz w:val="28"/>
          <w:szCs w:val="28"/>
        </w:rPr>
        <w:t xml:space="preserve">Key </w:t>
      </w:r>
      <w:proofErr w:type="spellStart"/>
      <w:r>
        <w:rPr>
          <w:rFonts w:ascii="Calibri" w:hAnsi="Calibri" w:cs="Calibri"/>
          <w:color w:val="7030A0"/>
          <w:sz w:val="28"/>
          <w:szCs w:val="28"/>
        </w:rPr>
        <w:t>words</w:t>
      </w:r>
      <w:proofErr w:type="spellEnd"/>
      <w:r>
        <w:rPr>
          <w:rFonts w:ascii="Calibri" w:hAnsi="Calibri" w:cs="Calibri"/>
          <w:color w:val="7030A0"/>
          <w:sz w:val="28"/>
          <w:szCs w:val="28"/>
        </w:rPr>
        <w:t>:</w:t>
      </w:r>
      <w:r>
        <w:rPr>
          <w:rFonts w:ascii="Arial" w:hAnsi="Arial" w:cs="Arial"/>
          <w:lang w:val="en-US"/>
        </w:rPr>
        <w:t xml:space="preserve"> </w:t>
      </w:r>
      <w:proofErr w:type="spellStart"/>
      <w:r>
        <w:t>Freedom</w:t>
      </w:r>
      <w:proofErr w:type="spellEnd"/>
      <w:r>
        <w:t xml:space="preserve"> of </w:t>
      </w:r>
      <w:proofErr w:type="spellStart"/>
      <w:r>
        <w:t>Information</w:t>
      </w:r>
      <w:proofErr w:type="spellEnd"/>
      <w:r>
        <w:t xml:space="preserve">, </w:t>
      </w:r>
      <w:proofErr w:type="spellStart"/>
      <w:r>
        <w:t>access</w:t>
      </w:r>
      <w:proofErr w:type="spellEnd"/>
      <w:r>
        <w:t xml:space="preserve">, </w:t>
      </w:r>
      <w:proofErr w:type="spellStart"/>
      <w:r>
        <w:t>information</w:t>
      </w:r>
      <w:proofErr w:type="spellEnd"/>
      <w:r>
        <w:t xml:space="preserve">, Human </w:t>
      </w:r>
      <w:proofErr w:type="spellStart"/>
      <w:r>
        <w:t>Rights</w:t>
      </w:r>
      <w:proofErr w:type="spellEnd"/>
      <w:r>
        <w:t>, Claude Reyes.</w:t>
      </w:r>
    </w:p>
    <w:p w:rsidR="00426A6F" w:rsidRDefault="00426A6F" w:rsidP="00C1035B">
      <w:pPr>
        <w:spacing w:line="360" w:lineRule="auto"/>
      </w:pPr>
    </w:p>
    <w:p w:rsidR="00426A6F" w:rsidRPr="00426A6F" w:rsidRDefault="00426A6F" w:rsidP="00C1035B">
      <w:pPr>
        <w:spacing w:line="360" w:lineRule="auto"/>
        <w:rPr>
          <w:rFonts w:ascii="Calibri" w:hAnsi="Calibri" w:cs="Calibri"/>
          <w:color w:val="7030A0"/>
          <w:sz w:val="28"/>
          <w:szCs w:val="28"/>
        </w:rPr>
      </w:pPr>
      <w:r w:rsidRPr="00426A6F">
        <w:rPr>
          <w:rFonts w:ascii="Calibri" w:hAnsi="Calibri" w:cs="Calibri"/>
          <w:color w:val="7030A0"/>
          <w:sz w:val="28"/>
          <w:szCs w:val="28"/>
        </w:rPr>
        <w:t>Resumo</w:t>
      </w:r>
    </w:p>
    <w:p w:rsidR="00426A6F" w:rsidRPr="00426A6F" w:rsidRDefault="00426A6F" w:rsidP="00426A6F">
      <w:pPr>
        <w:spacing w:line="360" w:lineRule="auto"/>
        <w:jc w:val="both"/>
      </w:pPr>
      <w:r w:rsidRPr="00426A6F">
        <w:t xml:space="preserve">O objetivo </w:t>
      </w:r>
      <w:proofErr w:type="spellStart"/>
      <w:r w:rsidRPr="00426A6F">
        <w:t>deste</w:t>
      </w:r>
      <w:proofErr w:type="spellEnd"/>
      <w:r w:rsidRPr="00426A6F">
        <w:t xml:space="preserve"> </w:t>
      </w:r>
      <w:proofErr w:type="spellStart"/>
      <w:r w:rsidRPr="00426A6F">
        <w:t>trabalho</w:t>
      </w:r>
      <w:proofErr w:type="spellEnd"/>
      <w:r w:rsidRPr="00426A6F">
        <w:t xml:space="preserve"> é verificar se o </w:t>
      </w:r>
      <w:proofErr w:type="spellStart"/>
      <w:r w:rsidRPr="00426A6F">
        <w:t>direito</w:t>
      </w:r>
      <w:proofErr w:type="spellEnd"/>
      <w:r w:rsidRPr="00426A6F">
        <w:t xml:space="preserve"> de </w:t>
      </w:r>
      <w:proofErr w:type="spellStart"/>
      <w:r w:rsidRPr="00426A6F">
        <w:t>acesso</w:t>
      </w:r>
      <w:proofErr w:type="spellEnd"/>
      <w:r w:rsidRPr="00426A6F">
        <w:t xml:space="preserve"> à </w:t>
      </w:r>
      <w:proofErr w:type="spellStart"/>
      <w:r w:rsidRPr="00426A6F">
        <w:t>informação</w:t>
      </w:r>
      <w:proofErr w:type="spellEnd"/>
      <w:r w:rsidRPr="00426A6F">
        <w:t xml:space="preserve"> é </w:t>
      </w:r>
      <w:proofErr w:type="spellStart"/>
      <w:r w:rsidRPr="00426A6F">
        <w:t>um</w:t>
      </w:r>
      <w:proofErr w:type="spellEnd"/>
      <w:r w:rsidRPr="00426A6F">
        <w:t xml:space="preserve"> </w:t>
      </w:r>
      <w:proofErr w:type="spellStart"/>
      <w:r w:rsidRPr="00426A6F">
        <w:t>direito</w:t>
      </w:r>
      <w:proofErr w:type="spellEnd"/>
      <w:r w:rsidRPr="00426A6F">
        <w:t xml:space="preserve"> humano, para o </w:t>
      </w:r>
      <w:proofErr w:type="spellStart"/>
      <w:r w:rsidRPr="00426A6F">
        <w:t>qual</w:t>
      </w:r>
      <w:proofErr w:type="spellEnd"/>
      <w:r w:rsidRPr="00426A6F">
        <w:t xml:space="preserve"> as </w:t>
      </w:r>
      <w:proofErr w:type="spellStart"/>
      <w:r w:rsidRPr="00426A6F">
        <w:t>definições</w:t>
      </w:r>
      <w:proofErr w:type="spellEnd"/>
      <w:r w:rsidRPr="00426A6F">
        <w:t xml:space="preserve"> de </w:t>
      </w:r>
      <w:proofErr w:type="spellStart"/>
      <w:r w:rsidRPr="00426A6F">
        <w:t>direitos</w:t>
      </w:r>
      <w:proofErr w:type="spellEnd"/>
      <w:r w:rsidRPr="00426A6F">
        <w:t xml:space="preserve"> humanos e </w:t>
      </w:r>
      <w:proofErr w:type="spellStart"/>
      <w:r w:rsidRPr="00426A6F">
        <w:t>direito</w:t>
      </w:r>
      <w:proofErr w:type="spellEnd"/>
      <w:r w:rsidRPr="00426A6F">
        <w:t xml:space="preserve"> de </w:t>
      </w:r>
      <w:proofErr w:type="spellStart"/>
      <w:r w:rsidRPr="00426A6F">
        <w:t>acesso</w:t>
      </w:r>
      <w:proofErr w:type="spellEnd"/>
      <w:r w:rsidRPr="00426A6F">
        <w:t xml:space="preserve"> à </w:t>
      </w:r>
      <w:proofErr w:type="spellStart"/>
      <w:r w:rsidRPr="00426A6F">
        <w:t>informação</w:t>
      </w:r>
      <w:proofErr w:type="spellEnd"/>
      <w:r w:rsidRPr="00426A6F">
        <w:t xml:space="preserve"> pública, </w:t>
      </w:r>
      <w:proofErr w:type="spellStart"/>
      <w:r w:rsidRPr="00426A6F">
        <w:t>constam</w:t>
      </w:r>
      <w:proofErr w:type="spellEnd"/>
      <w:r w:rsidRPr="00426A6F">
        <w:t xml:space="preserve"> </w:t>
      </w:r>
      <w:proofErr w:type="spellStart"/>
      <w:r w:rsidRPr="00426A6F">
        <w:t>ainda</w:t>
      </w:r>
      <w:proofErr w:type="spellEnd"/>
      <w:r w:rsidRPr="00426A6F">
        <w:t xml:space="preserve"> </w:t>
      </w:r>
      <w:proofErr w:type="spellStart"/>
      <w:r w:rsidRPr="00426A6F">
        <w:t>tido</w:t>
      </w:r>
      <w:proofErr w:type="spellEnd"/>
      <w:r w:rsidRPr="00426A6F">
        <w:t xml:space="preserve"> </w:t>
      </w:r>
      <w:proofErr w:type="spellStart"/>
      <w:r w:rsidRPr="00426A6F">
        <w:t>em</w:t>
      </w:r>
      <w:proofErr w:type="spellEnd"/>
      <w:r w:rsidRPr="00426A6F">
        <w:t xml:space="preserve"> </w:t>
      </w:r>
      <w:proofErr w:type="spellStart"/>
      <w:r w:rsidRPr="00426A6F">
        <w:t>conta</w:t>
      </w:r>
      <w:proofErr w:type="spellEnd"/>
      <w:r w:rsidRPr="00426A6F">
        <w:t xml:space="preserve"> o parecer do Corte Interamericana de </w:t>
      </w:r>
      <w:proofErr w:type="spellStart"/>
      <w:r w:rsidRPr="00426A6F">
        <w:t>Direitos</w:t>
      </w:r>
      <w:proofErr w:type="spellEnd"/>
      <w:r w:rsidRPr="00426A6F">
        <w:t xml:space="preserve"> Humanos, a </w:t>
      </w:r>
      <w:proofErr w:type="spellStart"/>
      <w:r w:rsidRPr="00426A6F">
        <w:t>jurisprudência</w:t>
      </w:r>
      <w:proofErr w:type="spellEnd"/>
      <w:r w:rsidRPr="00426A6F">
        <w:t xml:space="preserve"> válida </w:t>
      </w:r>
      <w:proofErr w:type="spellStart"/>
      <w:r w:rsidRPr="00426A6F">
        <w:t>em</w:t>
      </w:r>
      <w:proofErr w:type="spellEnd"/>
      <w:r w:rsidRPr="00426A6F">
        <w:t xml:space="preserve"> </w:t>
      </w:r>
      <w:proofErr w:type="spellStart"/>
      <w:r w:rsidRPr="00426A6F">
        <w:t>nosso</w:t>
      </w:r>
      <w:proofErr w:type="spellEnd"/>
      <w:r w:rsidRPr="00426A6F">
        <w:t xml:space="preserve"> </w:t>
      </w:r>
      <w:proofErr w:type="spellStart"/>
      <w:r w:rsidRPr="00426A6F">
        <w:t>ordenamento</w:t>
      </w:r>
      <w:proofErr w:type="spellEnd"/>
      <w:r w:rsidRPr="00426A6F">
        <w:t xml:space="preserve"> jurídico. O caso </w:t>
      </w:r>
      <w:proofErr w:type="spellStart"/>
      <w:r w:rsidRPr="00426A6F">
        <w:t>mais</w:t>
      </w:r>
      <w:proofErr w:type="spellEnd"/>
      <w:r w:rsidRPr="00426A6F">
        <w:t xml:space="preserve"> importante </w:t>
      </w:r>
      <w:proofErr w:type="spellStart"/>
      <w:r w:rsidRPr="00426A6F">
        <w:t>foi</w:t>
      </w:r>
      <w:proofErr w:type="spellEnd"/>
      <w:r w:rsidRPr="00426A6F">
        <w:t xml:space="preserve"> encontrado é o de Claude Reyes vs. Chile, parte central </w:t>
      </w:r>
      <w:proofErr w:type="spellStart"/>
      <w:r w:rsidRPr="00426A6F">
        <w:t>desta</w:t>
      </w:r>
      <w:proofErr w:type="spellEnd"/>
      <w:r w:rsidRPr="00426A6F">
        <w:t xml:space="preserve"> </w:t>
      </w:r>
      <w:proofErr w:type="spellStart"/>
      <w:r w:rsidRPr="00426A6F">
        <w:t>investigação</w:t>
      </w:r>
      <w:proofErr w:type="spellEnd"/>
      <w:r w:rsidRPr="00426A6F">
        <w:t xml:space="preserve">, </w:t>
      </w:r>
      <w:proofErr w:type="spellStart"/>
      <w:r w:rsidRPr="00426A6F">
        <w:t>onde</w:t>
      </w:r>
      <w:proofErr w:type="spellEnd"/>
      <w:r w:rsidRPr="00426A6F">
        <w:t xml:space="preserve"> </w:t>
      </w:r>
      <w:proofErr w:type="spellStart"/>
      <w:r w:rsidRPr="00426A6F">
        <w:t>foi</w:t>
      </w:r>
      <w:proofErr w:type="spellEnd"/>
      <w:r w:rsidRPr="00426A6F">
        <w:t xml:space="preserve"> </w:t>
      </w:r>
      <w:proofErr w:type="spellStart"/>
      <w:r w:rsidRPr="00426A6F">
        <w:t>estabelecido</w:t>
      </w:r>
      <w:proofErr w:type="spellEnd"/>
      <w:r w:rsidRPr="00426A6F">
        <w:t xml:space="preserve"> que o </w:t>
      </w:r>
      <w:proofErr w:type="spellStart"/>
      <w:r w:rsidRPr="00426A6F">
        <w:t>direito</w:t>
      </w:r>
      <w:proofErr w:type="spellEnd"/>
      <w:r w:rsidRPr="00426A6F">
        <w:t xml:space="preserve"> de </w:t>
      </w:r>
      <w:proofErr w:type="spellStart"/>
      <w:r w:rsidRPr="00426A6F">
        <w:t>acesso</w:t>
      </w:r>
      <w:proofErr w:type="spellEnd"/>
      <w:r w:rsidRPr="00426A6F">
        <w:t xml:space="preserve"> à </w:t>
      </w:r>
      <w:proofErr w:type="spellStart"/>
      <w:r w:rsidRPr="00426A6F">
        <w:t>informação</w:t>
      </w:r>
      <w:proofErr w:type="spellEnd"/>
      <w:r w:rsidRPr="00426A6F">
        <w:t xml:space="preserve"> é </w:t>
      </w:r>
      <w:proofErr w:type="spellStart"/>
      <w:r w:rsidRPr="00426A6F">
        <w:t>um</w:t>
      </w:r>
      <w:proofErr w:type="spellEnd"/>
      <w:r w:rsidRPr="00426A6F">
        <w:t xml:space="preserve"> </w:t>
      </w:r>
      <w:proofErr w:type="spellStart"/>
      <w:r w:rsidRPr="00426A6F">
        <w:t>direito</w:t>
      </w:r>
      <w:proofErr w:type="spellEnd"/>
      <w:r w:rsidRPr="00426A6F">
        <w:t xml:space="preserve"> humano </w:t>
      </w:r>
      <w:proofErr w:type="spellStart"/>
      <w:r w:rsidRPr="00426A6F">
        <w:t>em</w:t>
      </w:r>
      <w:proofErr w:type="spellEnd"/>
      <w:r w:rsidRPr="00426A6F">
        <w:t xml:space="preserve"> </w:t>
      </w:r>
      <w:proofErr w:type="spellStart"/>
      <w:r w:rsidRPr="00426A6F">
        <w:t>si</w:t>
      </w:r>
      <w:proofErr w:type="spellEnd"/>
      <w:r w:rsidRPr="00426A6F">
        <w:t xml:space="preserve">. </w:t>
      </w:r>
      <w:proofErr w:type="spellStart"/>
      <w:r w:rsidRPr="00426A6F">
        <w:t>Assim</w:t>
      </w:r>
      <w:proofErr w:type="spellEnd"/>
      <w:r w:rsidRPr="00426A6F">
        <w:t xml:space="preserve">, o Tribunal </w:t>
      </w:r>
      <w:proofErr w:type="spellStart"/>
      <w:r w:rsidRPr="00426A6F">
        <w:t>foi</w:t>
      </w:r>
      <w:proofErr w:type="spellEnd"/>
      <w:r w:rsidRPr="00426A6F">
        <w:t xml:space="preserve"> a </w:t>
      </w:r>
      <w:proofErr w:type="spellStart"/>
      <w:r w:rsidRPr="00426A6F">
        <w:t>primeira</w:t>
      </w:r>
      <w:proofErr w:type="spellEnd"/>
      <w:r w:rsidRPr="00426A6F">
        <w:t xml:space="preserve"> </w:t>
      </w:r>
      <w:proofErr w:type="spellStart"/>
      <w:r w:rsidRPr="00426A6F">
        <w:t>organização</w:t>
      </w:r>
      <w:proofErr w:type="spellEnd"/>
      <w:r w:rsidRPr="00426A6F">
        <w:t xml:space="preserve"> internacional a </w:t>
      </w:r>
      <w:proofErr w:type="spellStart"/>
      <w:r w:rsidRPr="00426A6F">
        <w:t>reconhecê</w:t>
      </w:r>
      <w:proofErr w:type="spellEnd"/>
      <w:r w:rsidRPr="00426A6F">
        <w:t xml:space="preserve">-lo </w:t>
      </w:r>
      <w:proofErr w:type="spellStart"/>
      <w:r w:rsidRPr="00426A6F">
        <w:t>em</w:t>
      </w:r>
      <w:proofErr w:type="spellEnd"/>
      <w:r w:rsidRPr="00426A6F">
        <w:t xml:space="preserve"> </w:t>
      </w:r>
      <w:proofErr w:type="spellStart"/>
      <w:r w:rsidRPr="00426A6F">
        <w:t>uma</w:t>
      </w:r>
      <w:proofErr w:type="spellEnd"/>
      <w:r w:rsidRPr="00426A6F">
        <w:t xml:space="preserve"> frase.</w:t>
      </w:r>
    </w:p>
    <w:p w:rsidR="00426A6F" w:rsidRDefault="00426A6F" w:rsidP="00426A6F">
      <w:pPr>
        <w:spacing w:line="360" w:lineRule="auto"/>
      </w:pPr>
      <w:proofErr w:type="spellStart"/>
      <w:r w:rsidRPr="00426A6F">
        <w:rPr>
          <w:rFonts w:ascii="Calibri" w:hAnsi="Calibri" w:cs="Calibri"/>
          <w:color w:val="7030A0"/>
          <w:sz w:val="28"/>
          <w:szCs w:val="28"/>
        </w:rPr>
        <w:t>Palavras</w:t>
      </w:r>
      <w:proofErr w:type="spellEnd"/>
      <w:r w:rsidRPr="00426A6F">
        <w:rPr>
          <w:rFonts w:ascii="Calibri" w:hAnsi="Calibri" w:cs="Calibri"/>
          <w:color w:val="7030A0"/>
          <w:sz w:val="28"/>
          <w:szCs w:val="28"/>
        </w:rPr>
        <w:t>-chave:</w:t>
      </w:r>
      <w:r w:rsidRPr="00426A6F">
        <w:rPr>
          <w:rFonts w:ascii="Arial" w:hAnsi="Arial" w:cs="Arial"/>
          <w:lang w:val="en-US"/>
        </w:rPr>
        <w:t xml:space="preserve"> </w:t>
      </w:r>
      <w:proofErr w:type="spellStart"/>
      <w:r w:rsidRPr="00426A6F">
        <w:t>acesso</w:t>
      </w:r>
      <w:proofErr w:type="spellEnd"/>
      <w:r w:rsidRPr="00426A6F">
        <w:t xml:space="preserve">, </w:t>
      </w:r>
      <w:proofErr w:type="spellStart"/>
      <w:r w:rsidRPr="00426A6F">
        <w:t>informação</w:t>
      </w:r>
      <w:proofErr w:type="spellEnd"/>
      <w:r w:rsidRPr="00426A6F">
        <w:t xml:space="preserve">, </w:t>
      </w:r>
      <w:proofErr w:type="spellStart"/>
      <w:r w:rsidRPr="00426A6F">
        <w:t>direito</w:t>
      </w:r>
      <w:proofErr w:type="spellEnd"/>
      <w:r w:rsidRPr="00426A6F">
        <w:t xml:space="preserve"> humano, Claude Reyes.</w:t>
      </w:r>
    </w:p>
    <w:p w:rsidR="00426A6F" w:rsidRDefault="00426A6F" w:rsidP="00426A6F">
      <w:pPr>
        <w:spacing w:line="360" w:lineRule="auto"/>
      </w:pPr>
    </w:p>
    <w:p w:rsidR="00426A6F" w:rsidRPr="007F592E" w:rsidRDefault="00426A6F" w:rsidP="00426A6F">
      <w:pPr>
        <w:spacing w:line="360" w:lineRule="auto"/>
        <w:rPr>
          <w:rFonts w:ascii="Arial" w:hAnsi="Arial" w:cs="Arial"/>
          <w:lang w:val="en-US"/>
        </w:rPr>
      </w:pPr>
      <w:r w:rsidRPr="00402395">
        <w:rPr>
          <w:b/>
          <w:color w:val="000000"/>
        </w:rPr>
        <w:t>Fecha Recepción:</w:t>
      </w:r>
      <w:r w:rsidRPr="00402395">
        <w:rPr>
          <w:color w:val="000000"/>
        </w:rPr>
        <w:t xml:space="preserve">     Julio 2016     </w:t>
      </w:r>
      <w:r w:rsidRPr="00402395">
        <w:rPr>
          <w:b/>
          <w:color w:val="000000"/>
        </w:rPr>
        <w:t>Fecha Aceptación:</w:t>
      </w:r>
      <w:r w:rsidRPr="00402395">
        <w:rPr>
          <w:color w:val="000000"/>
        </w:rPr>
        <w:t xml:space="preserve"> Enero 2017</w:t>
      </w:r>
      <w:r w:rsidRPr="00402395">
        <w:rPr>
          <w:color w:val="000000"/>
        </w:rPr>
        <w:br/>
      </w:r>
      <w:r w:rsidR="007D4260">
        <w:pict>
          <v:rect id="_x0000_i1025" style="width:0;height:1.5pt" o:hralign="center" o:hrstd="t" o:hr="t" fillcolor="#a0a0a0" stroked="f"/>
        </w:pict>
      </w:r>
    </w:p>
    <w:p w:rsidR="007F592E" w:rsidRPr="007F592E" w:rsidRDefault="007F592E" w:rsidP="00C1035B">
      <w:pPr>
        <w:spacing w:line="360" w:lineRule="auto"/>
        <w:rPr>
          <w:rFonts w:ascii="Arial" w:hAnsi="Arial" w:cs="Arial"/>
          <w:lang w:val="en-US"/>
        </w:rPr>
      </w:pPr>
    </w:p>
    <w:p w:rsidR="00267DA4" w:rsidRPr="00C1035B" w:rsidRDefault="00426A6F" w:rsidP="00C1035B">
      <w:pPr>
        <w:spacing w:line="360" w:lineRule="auto"/>
        <w:jc w:val="both"/>
        <w:rPr>
          <w:rFonts w:ascii="Arial" w:hAnsi="Arial" w:cs="Arial"/>
          <w:lang w:val="es-MX"/>
        </w:rPr>
      </w:pPr>
      <w:r>
        <w:rPr>
          <w:rFonts w:ascii="Calibri" w:hAnsi="Calibri" w:cs="Calibri"/>
          <w:color w:val="7030A0"/>
          <w:sz w:val="28"/>
          <w:szCs w:val="28"/>
        </w:rPr>
        <w:t>I</w:t>
      </w:r>
      <w:r w:rsidRPr="00426A6F">
        <w:rPr>
          <w:rFonts w:ascii="Calibri" w:hAnsi="Calibri" w:cs="Calibri"/>
          <w:color w:val="7030A0"/>
          <w:sz w:val="28"/>
          <w:szCs w:val="28"/>
        </w:rPr>
        <w:t>ntroducción</w:t>
      </w:r>
      <w:bookmarkEnd w:id="0"/>
    </w:p>
    <w:p w:rsidR="00267DA4" w:rsidRPr="00426A6F" w:rsidRDefault="00267DA4" w:rsidP="00426A6F">
      <w:pPr>
        <w:spacing w:line="360" w:lineRule="auto"/>
        <w:jc w:val="both"/>
        <w:rPr>
          <w:lang w:val="es-MX"/>
        </w:rPr>
      </w:pPr>
      <w:r w:rsidRPr="00426A6F">
        <w:rPr>
          <w:lang w:val="es-MX"/>
        </w:rPr>
        <w:t>El derecho de acceso a la información es un derecho humano reconocido en nuestra constitución en su artículo 6º</w:t>
      </w:r>
      <w:r w:rsidR="00D965AF" w:rsidRPr="00426A6F">
        <w:rPr>
          <w:lang w:val="es-MX"/>
        </w:rPr>
        <w:t xml:space="preserve"> </w:t>
      </w:r>
      <w:r w:rsidR="00857CDB" w:rsidRPr="00426A6F">
        <w:rPr>
          <w:lang w:val="es-MX"/>
        </w:rPr>
        <w:t>(</w:t>
      </w:r>
      <w:r w:rsidR="00857CDB" w:rsidRPr="00426A6F">
        <w:t>Constitución Política de los Estados Unidos Mexicanos</w:t>
      </w:r>
      <w:r w:rsidR="00851B56" w:rsidRPr="00426A6F">
        <w:t>, 1917)</w:t>
      </w:r>
      <w:r w:rsidRPr="00426A6F">
        <w:rPr>
          <w:lang w:val="es-MX"/>
        </w:rPr>
        <w:t>, así como en el artículo 13º de la Convención Americana sobre Derechos Humanos</w:t>
      </w:r>
      <w:r w:rsidR="00851B56" w:rsidRPr="00426A6F">
        <w:rPr>
          <w:lang w:val="es-MX"/>
        </w:rPr>
        <w:t xml:space="preserve"> (1969)</w:t>
      </w:r>
      <w:r w:rsidR="00AE7C23" w:rsidRPr="00426A6F">
        <w:rPr>
          <w:lang w:val="es-MX"/>
        </w:rPr>
        <w:t>,</w:t>
      </w:r>
      <w:r w:rsidRPr="00426A6F">
        <w:rPr>
          <w:lang w:val="es-MX"/>
        </w:rPr>
        <w:t xml:space="preserve"> el 19º de la Declaración Universal de los Derechos Humanos</w:t>
      </w:r>
      <w:r w:rsidR="00851B56" w:rsidRPr="00426A6F">
        <w:rPr>
          <w:lang w:val="es-MX"/>
        </w:rPr>
        <w:t xml:space="preserve"> (1948)</w:t>
      </w:r>
      <w:r w:rsidR="00AE7C23" w:rsidRPr="00426A6F">
        <w:rPr>
          <w:lang w:val="es-MX"/>
        </w:rPr>
        <w:t>,</w:t>
      </w:r>
      <w:r w:rsidRPr="00426A6F">
        <w:rPr>
          <w:lang w:val="es-MX"/>
        </w:rPr>
        <w:t xml:space="preserve"> y el Pacto Internacional de Derechos Civiles y Políticos</w:t>
      </w:r>
      <w:r w:rsidR="00851B56" w:rsidRPr="00426A6F">
        <w:rPr>
          <w:lang w:val="es-MX"/>
        </w:rPr>
        <w:t xml:space="preserve"> (1966)</w:t>
      </w:r>
      <w:r w:rsidRPr="00426A6F">
        <w:rPr>
          <w:lang w:val="es-MX"/>
        </w:rPr>
        <w:t xml:space="preserve">, </w:t>
      </w:r>
      <w:r w:rsidR="00D965AF" w:rsidRPr="00426A6F">
        <w:rPr>
          <w:lang w:val="es-MX"/>
        </w:rPr>
        <w:t xml:space="preserve">todos ellos </w:t>
      </w:r>
      <w:r w:rsidRPr="00426A6F">
        <w:rPr>
          <w:lang w:val="es-MX"/>
        </w:rPr>
        <w:t xml:space="preserve">tratados internacionales </w:t>
      </w:r>
      <w:r w:rsidR="00AE7C23" w:rsidRPr="00426A6F">
        <w:rPr>
          <w:lang w:val="es-MX"/>
        </w:rPr>
        <w:t>de</w:t>
      </w:r>
      <w:r w:rsidRPr="00426A6F">
        <w:rPr>
          <w:lang w:val="es-MX"/>
        </w:rPr>
        <w:t xml:space="preserve"> los que México </w:t>
      </w:r>
      <w:r w:rsidR="00D965AF" w:rsidRPr="00426A6F">
        <w:rPr>
          <w:lang w:val="es-MX"/>
        </w:rPr>
        <w:t>forma</w:t>
      </w:r>
      <w:r w:rsidRPr="00426A6F">
        <w:rPr>
          <w:lang w:val="es-MX"/>
        </w:rPr>
        <w:t xml:space="preserve"> parte. </w:t>
      </w:r>
    </w:p>
    <w:p w:rsidR="00267DA4" w:rsidRPr="00426A6F" w:rsidRDefault="00277A37" w:rsidP="00426A6F">
      <w:pPr>
        <w:spacing w:line="360" w:lineRule="auto"/>
        <w:jc w:val="both"/>
        <w:rPr>
          <w:lang w:val="es-MX"/>
        </w:rPr>
      </w:pPr>
      <w:r w:rsidRPr="00426A6F">
        <w:rPr>
          <w:lang w:val="es-MX"/>
        </w:rPr>
        <w:t>Asimismo, e</w:t>
      </w:r>
      <w:r w:rsidR="00267DA4" w:rsidRPr="00426A6F">
        <w:rPr>
          <w:lang w:val="es-MX"/>
        </w:rPr>
        <w:t>l artículo sexto constitucional establece todo un mecanismo de garantía del propio derecho</w:t>
      </w:r>
      <w:r w:rsidRPr="00426A6F">
        <w:rPr>
          <w:lang w:val="es-MX"/>
        </w:rPr>
        <w:t>,</w:t>
      </w:r>
      <w:r w:rsidR="00267DA4" w:rsidRPr="00426A6F">
        <w:rPr>
          <w:lang w:val="es-MX"/>
        </w:rPr>
        <w:t xml:space="preserve"> conformado por un </w:t>
      </w:r>
      <w:r w:rsidRPr="00426A6F">
        <w:rPr>
          <w:lang w:val="es-MX"/>
        </w:rPr>
        <w:t>ó</w:t>
      </w:r>
      <w:r w:rsidR="00267DA4" w:rsidRPr="00426A6F">
        <w:rPr>
          <w:lang w:val="es-MX"/>
        </w:rPr>
        <w:t xml:space="preserve">rgano </w:t>
      </w:r>
      <w:r w:rsidRPr="00426A6F">
        <w:rPr>
          <w:lang w:val="es-MX"/>
        </w:rPr>
        <w:t>g</w:t>
      </w:r>
      <w:r w:rsidR="00267DA4" w:rsidRPr="00426A6F">
        <w:rPr>
          <w:lang w:val="es-MX"/>
        </w:rPr>
        <w:t xml:space="preserve">arante </w:t>
      </w:r>
      <w:r w:rsidRPr="00426A6F">
        <w:rPr>
          <w:lang w:val="es-MX"/>
        </w:rPr>
        <w:t>n</w:t>
      </w:r>
      <w:r w:rsidR="00267DA4" w:rsidRPr="00426A6F">
        <w:rPr>
          <w:lang w:val="es-MX"/>
        </w:rPr>
        <w:t xml:space="preserve">acional (Instituto Nacional de Acceso a la Información Pública) y organismos locales (en Baja California el Instituto de Transparencia y Acceso a la Información Pública). </w:t>
      </w:r>
      <w:r w:rsidRPr="00426A6F">
        <w:rPr>
          <w:lang w:val="es-MX"/>
        </w:rPr>
        <w:t>Ahí se e</w:t>
      </w:r>
      <w:r w:rsidR="00267DA4" w:rsidRPr="00426A6F">
        <w:rPr>
          <w:lang w:val="es-MX"/>
        </w:rPr>
        <w:t>stablece</w:t>
      </w:r>
      <w:r w:rsidRPr="00426A6F">
        <w:rPr>
          <w:lang w:val="es-MX"/>
        </w:rPr>
        <w:t>n</w:t>
      </w:r>
      <w:r w:rsidR="00267DA4" w:rsidRPr="00426A6F">
        <w:rPr>
          <w:lang w:val="es-MX"/>
        </w:rPr>
        <w:t xml:space="preserve"> principios como el de máxima publicidad y </w:t>
      </w:r>
      <w:r w:rsidR="00267DA4" w:rsidRPr="00426A6F">
        <w:rPr>
          <w:lang w:val="es-MX"/>
        </w:rPr>
        <w:lastRenderedPageBreak/>
        <w:t>que todas las personas sin necesidad de acreditar interés alguno p</w:t>
      </w:r>
      <w:r w:rsidRPr="00426A6F">
        <w:rPr>
          <w:lang w:val="es-MX"/>
        </w:rPr>
        <w:t>ueden</w:t>
      </w:r>
      <w:r w:rsidR="00267DA4" w:rsidRPr="00426A6F">
        <w:rPr>
          <w:lang w:val="es-MX"/>
        </w:rPr>
        <w:t xml:space="preserve"> hacer </w:t>
      </w:r>
      <w:r w:rsidRPr="00426A6F">
        <w:rPr>
          <w:lang w:val="es-MX"/>
        </w:rPr>
        <w:t>valer dicho</w:t>
      </w:r>
      <w:r w:rsidR="00267DA4" w:rsidRPr="00426A6F">
        <w:rPr>
          <w:lang w:val="es-MX"/>
        </w:rPr>
        <w:t xml:space="preserve"> derecho. </w:t>
      </w:r>
    </w:p>
    <w:p w:rsidR="00267DA4" w:rsidRPr="00426A6F" w:rsidRDefault="00267DA4" w:rsidP="00426A6F">
      <w:pPr>
        <w:spacing w:line="360" w:lineRule="auto"/>
        <w:jc w:val="both"/>
        <w:rPr>
          <w:lang w:val="es-MX"/>
        </w:rPr>
      </w:pPr>
      <w:r w:rsidRPr="00426A6F">
        <w:rPr>
          <w:lang w:val="es-MX"/>
        </w:rPr>
        <w:t>A nivel internacional no se goza del mismo sistema de garantía</w:t>
      </w:r>
      <w:r w:rsidR="00277A37" w:rsidRPr="00426A6F">
        <w:rPr>
          <w:lang w:val="es-MX"/>
        </w:rPr>
        <w:t xml:space="preserve"> ya que</w:t>
      </w:r>
      <w:r w:rsidRPr="00426A6F">
        <w:rPr>
          <w:lang w:val="es-MX"/>
        </w:rPr>
        <w:t xml:space="preserve"> no existe un organismo internacional garante de dicho derecho de manera particular o especializada. Los tratados internacionales, </w:t>
      </w:r>
      <w:r w:rsidR="00277A37" w:rsidRPr="00426A6F">
        <w:rPr>
          <w:lang w:val="es-MX"/>
        </w:rPr>
        <w:t>al</w:t>
      </w:r>
      <w:r w:rsidRPr="00426A6F">
        <w:rPr>
          <w:lang w:val="es-MX"/>
        </w:rPr>
        <w:t xml:space="preserve"> menos la Declaración Universal sobre Derechos Humanos, la Convención Americana sobre Derechos Humanos y el Pacto Internacional de Derechos Civiles y Políticos, ubican al derecho de acceso a la información como un derecho accesorio a la libertad de expresión. Sin embargo</w:t>
      </w:r>
      <w:r w:rsidR="00277A37" w:rsidRPr="00426A6F">
        <w:rPr>
          <w:lang w:val="es-MX"/>
        </w:rPr>
        <w:t>,</w:t>
      </w:r>
      <w:r w:rsidRPr="00426A6F">
        <w:rPr>
          <w:lang w:val="es-MX"/>
        </w:rPr>
        <w:t xml:space="preserve"> la práctica e inclusive en el sistema Americano</w:t>
      </w:r>
      <w:r w:rsidR="005A4BC1" w:rsidRPr="00426A6F">
        <w:rPr>
          <w:lang w:val="es-MX"/>
        </w:rPr>
        <w:t>,</w:t>
      </w:r>
      <w:r w:rsidRPr="00426A6F">
        <w:rPr>
          <w:lang w:val="es-MX"/>
        </w:rPr>
        <w:t xml:space="preserve"> la Corte Interamericana ha establecido que el derecho de acceso a la información en sí </w:t>
      </w:r>
      <w:r w:rsidR="00277A37" w:rsidRPr="00426A6F">
        <w:rPr>
          <w:lang w:val="es-MX"/>
        </w:rPr>
        <w:t xml:space="preserve">es </w:t>
      </w:r>
      <w:r w:rsidRPr="00426A6F">
        <w:rPr>
          <w:lang w:val="es-MX"/>
        </w:rPr>
        <w:t xml:space="preserve">un </w:t>
      </w:r>
      <w:r w:rsidR="005A4BC1" w:rsidRPr="00426A6F">
        <w:rPr>
          <w:lang w:val="es-MX"/>
        </w:rPr>
        <w:t>d</w:t>
      </w:r>
      <w:r w:rsidRPr="00426A6F">
        <w:rPr>
          <w:lang w:val="es-MX"/>
        </w:rPr>
        <w:t xml:space="preserve">erecho </w:t>
      </w:r>
      <w:r w:rsidR="005A4BC1" w:rsidRPr="00426A6F">
        <w:rPr>
          <w:lang w:val="es-MX"/>
        </w:rPr>
        <w:t>h</w:t>
      </w:r>
      <w:r w:rsidRPr="00426A6F">
        <w:rPr>
          <w:lang w:val="es-MX"/>
        </w:rPr>
        <w:t xml:space="preserve">umano. </w:t>
      </w:r>
    </w:p>
    <w:p w:rsidR="00CB7F32" w:rsidRPr="00426A6F" w:rsidRDefault="000C07B1" w:rsidP="00426A6F">
      <w:pPr>
        <w:spacing w:line="360" w:lineRule="auto"/>
        <w:jc w:val="both"/>
        <w:rPr>
          <w:lang w:val="es-MX"/>
        </w:rPr>
      </w:pPr>
      <w:r w:rsidRPr="00426A6F">
        <w:rPr>
          <w:lang w:val="es-MX"/>
        </w:rPr>
        <w:t>“</w:t>
      </w:r>
      <w:r w:rsidR="00267DA4" w:rsidRPr="00426A6F">
        <w:rPr>
          <w:lang w:val="es-MX"/>
        </w:rPr>
        <w:t>Los principios de interdependencia e indivisibilidad de los derechos humanos a los que se refiere el párrafo tercero del primer artículo de nuestra constitución</w:t>
      </w:r>
      <w:r w:rsidR="007F4947" w:rsidRPr="00426A6F">
        <w:rPr>
          <w:lang w:val="es-MX"/>
        </w:rPr>
        <w:t>,</w:t>
      </w:r>
      <w:r w:rsidR="00267DA4" w:rsidRPr="00426A6F">
        <w:rPr>
          <w:lang w:val="es-MX"/>
        </w:rPr>
        <w:t xml:space="preserve"> establecen que todos los derechos humanos existen al mismo tiempo</w:t>
      </w:r>
      <w:r w:rsidRPr="00426A6F">
        <w:rPr>
          <w:lang w:val="es-MX"/>
        </w:rPr>
        <w:t>” (Vázquez y Serrano, 2012)</w:t>
      </w:r>
      <w:r w:rsidR="00267DA4" w:rsidRPr="00426A6F">
        <w:rPr>
          <w:lang w:val="es-MX"/>
        </w:rPr>
        <w:t xml:space="preserve">, por lo que es necesario establecer mecanismos de convivencia de los propios derechos. Las obligaciones de proteger, garantizar, promover y respetar los derechos humanos, consagrados en el mismo artículo, aplican para el derecho de acceso a la información y para todas nuestras autoridades. </w:t>
      </w:r>
    </w:p>
    <w:p w:rsidR="00CB7F32" w:rsidRPr="00426A6F" w:rsidRDefault="00CB7F32" w:rsidP="00426A6F">
      <w:pPr>
        <w:spacing w:line="360" w:lineRule="auto"/>
        <w:jc w:val="both"/>
        <w:rPr>
          <w:rFonts w:eastAsia="Calibri"/>
          <w:lang w:val="es-MX" w:eastAsia="en-US"/>
        </w:rPr>
      </w:pPr>
      <w:r w:rsidRPr="00426A6F">
        <w:rPr>
          <w:rFonts w:eastAsia="Calibri"/>
          <w:lang w:val="es-MX" w:eastAsia="en-US"/>
        </w:rPr>
        <w:t>“</w:t>
      </w:r>
      <w:r w:rsidR="00267DA4" w:rsidRPr="00426A6F">
        <w:rPr>
          <w:rFonts w:eastAsia="Calibri"/>
          <w:lang w:val="es-MX" w:eastAsia="en-US"/>
        </w:rPr>
        <w:t>El derecho de Acceso a la Información se encuentra directamente relacionado con la rendición de cuentas, la transparencia y la participación ciudadana y es un elemento esencial en cualquier gobierno democrático”</w:t>
      </w:r>
      <w:r w:rsidRPr="00426A6F">
        <w:rPr>
          <w:rFonts w:eastAsia="Calibri"/>
          <w:lang w:val="es-MX" w:eastAsia="en-US"/>
        </w:rPr>
        <w:t xml:space="preserve"> (Castro, 2014),</w:t>
      </w:r>
      <w:r w:rsidR="00267DA4" w:rsidRPr="00426A6F">
        <w:rPr>
          <w:rFonts w:eastAsia="Calibri"/>
          <w:lang w:val="es-MX" w:eastAsia="en-US"/>
        </w:rPr>
        <w:t xml:space="preserve"> que puede ser utilizado como herramienta para mejorar la calidad de vida de los ciudadanos “ya que en su ejercicio descansa una parte importante de la confianza que los gobernados pue</w:t>
      </w:r>
      <w:r w:rsidRPr="00426A6F">
        <w:rPr>
          <w:rFonts w:eastAsia="Calibri"/>
          <w:lang w:val="es-MX" w:eastAsia="en-US"/>
        </w:rPr>
        <w:t>dan tener sobre los gobernantes” (Castellanos, 2004)</w:t>
      </w:r>
      <w:r w:rsidR="00267DA4" w:rsidRPr="00426A6F">
        <w:rPr>
          <w:rFonts w:eastAsia="Calibri"/>
          <w:lang w:val="es-MX" w:eastAsia="en-US"/>
        </w:rPr>
        <w:t xml:space="preserve">.  </w:t>
      </w:r>
    </w:p>
    <w:p w:rsidR="00851B56" w:rsidRPr="00426A6F" w:rsidRDefault="00851B56" w:rsidP="00426A6F">
      <w:pPr>
        <w:spacing w:line="360" w:lineRule="auto"/>
        <w:jc w:val="both"/>
        <w:rPr>
          <w:rFonts w:eastAsia="Calibri"/>
          <w:lang w:val="es-MX" w:eastAsia="en-US"/>
        </w:rPr>
      </w:pPr>
    </w:p>
    <w:p w:rsidR="00CB7F32" w:rsidRPr="00426A6F" w:rsidRDefault="002B5A5B" w:rsidP="00426A6F">
      <w:pPr>
        <w:spacing w:line="360" w:lineRule="auto"/>
        <w:jc w:val="both"/>
        <w:rPr>
          <w:b/>
          <w:color w:val="222222"/>
          <w:lang w:val="es-MX" w:eastAsia="es-MX"/>
        </w:rPr>
      </w:pPr>
      <w:r w:rsidRPr="00426A6F">
        <w:rPr>
          <w:b/>
          <w:color w:val="222222"/>
          <w:lang w:val="es-MX" w:eastAsia="es-MX"/>
        </w:rPr>
        <w:t>MÉTODO</w:t>
      </w:r>
    </w:p>
    <w:p w:rsidR="00851B56" w:rsidRPr="00426A6F" w:rsidRDefault="00851B56" w:rsidP="00426A6F">
      <w:pPr>
        <w:spacing w:line="360" w:lineRule="auto"/>
        <w:jc w:val="both"/>
        <w:rPr>
          <w:b/>
          <w:color w:val="222222"/>
          <w:lang w:val="es-MX" w:eastAsia="es-MX"/>
        </w:rPr>
      </w:pPr>
    </w:p>
    <w:p w:rsidR="00CB7F32" w:rsidRPr="00426A6F" w:rsidRDefault="00140AA3" w:rsidP="00426A6F">
      <w:pPr>
        <w:spacing w:line="360" w:lineRule="auto"/>
        <w:jc w:val="both"/>
      </w:pPr>
      <w:r w:rsidRPr="00426A6F">
        <w:t>La problemática planteada requiere de su sistematización, para ello es necesario buscar dar respuesta a las interrogantes y alcanzar los objetivos planteados, buscando demostrar las hipótesis establecidas</w:t>
      </w:r>
      <w:r w:rsidR="00593386" w:rsidRPr="00426A6F">
        <w:t>. Esto</w:t>
      </w:r>
      <w:r w:rsidRPr="00426A6F">
        <w:t xml:space="preserve"> se logrará con un enfoque cuantitativo y cualitativo, así como con un alcance exploratorio, descriptivo, correlacional y explicativo de la investigación, utilizando como unidad de análisis “</w:t>
      </w:r>
      <w:r w:rsidR="00DE65CC" w:rsidRPr="00426A6F">
        <w:t>e</w:t>
      </w:r>
      <w:r w:rsidRPr="00426A6F">
        <w:rPr>
          <w:rFonts w:eastAsia="Calibri"/>
          <w:lang w:val="es-MX" w:eastAsia="en-US"/>
        </w:rPr>
        <w:t xml:space="preserve">l derecho de Acceso a la Información </w:t>
      </w:r>
      <w:r w:rsidRPr="00426A6F">
        <w:t xml:space="preserve">en México” y la “garantía constitucional para su protección” con un diseño de investigación no experimental, transversal, utilizando técnicas de investigación documental y de campo. </w:t>
      </w:r>
    </w:p>
    <w:p w:rsidR="00CB7F32" w:rsidRPr="00426A6F" w:rsidRDefault="00140AA3" w:rsidP="00426A6F">
      <w:pPr>
        <w:spacing w:line="360" w:lineRule="auto"/>
        <w:jc w:val="both"/>
      </w:pPr>
      <w:r w:rsidRPr="00426A6F">
        <w:lastRenderedPageBreak/>
        <w:t>Las interrogantes fundamentales a responder son las siguientes:¿</w:t>
      </w:r>
      <w:r w:rsidR="00F307B1" w:rsidRPr="00426A6F">
        <w:t>c</w:t>
      </w:r>
      <w:r w:rsidRPr="00426A6F">
        <w:t>uál es el derecho de acceso a la información pública en México?</w:t>
      </w:r>
      <w:r w:rsidR="00CB7F32" w:rsidRPr="00426A6F">
        <w:t xml:space="preserve">, </w:t>
      </w:r>
      <w:r w:rsidRPr="00426A6F">
        <w:t>¿</w:t>
      </w:r>
      <w:r w:rsidR="00F307B1" w:rsidRPr="00426A6F">
        <w:t>c</w:t>
      </w:r>
      <w:r w:rsidRPr="00426A6F">
        <w:t>uál es la naturaleza jurídica del derecho de acceso a la información pública en México?</w:t>
      </w:r>
      <w:r w:rsidR="00CB7F32" w:rsidRPr="00426A6F">
        <w:t xml:space="preserve">, </w:t>
      </w:r>
      <w:r w:rsidRPr="00426A6F">
        <w:t>¿</w:t>
      </w:r>
      <w:r w:rsidR="00F307B1" w:rsidRPr="00426A6F">
        <w:t>c</w:t>
      </w:r>
      <w:r w:rsidRPr="00426A6F">
        <w:t>uál es la garantía constitucional para la protección del derecho de acceso a la información pública en México?</w:t>
      </w:r>
      <w:r w:rsidR="00CB7F32" w:rsidRPr="00426A6F">
        <w:t xml:space="preserve">, </w:t>
      </w:r>
      <w:r w:rsidRPr="00426A6F">
        <w:t>¿</w:t>
      </w:r>
      <w:r w:rsidR="00F307B1" w:rsidRPr="00426A6F">
        <w:t>c</w:t>
      </w:r>
      <w:r w:rsidRPr="00426A6F">
        <w:t>uál es la base constitucional, convencional y legal de la garantía constitucional para la protección del derecho de acceso a la información pública en México?</w:t>
      </w:r>
      <w:r w:rsidR="00CB7F32" w:rsidRPr="00426A6F">
        <w:t xml:space="preserve">, </w:t>
      </w:r>
      <w:r w:rsidRPr="00426A6F">
        <w:t>¿</w:t>
      </w:r>
      <w:r w:rsidR="00F307B1" w:rsidRPr="00426A6F">
        <w:t>c</w:t>
      </w:r>
      <w:r w:rsidRPr="00426A6F">
        <w:t xml:space="preserve">uál ha sido el uso cuantitativo y cualitativo del derecho de acceso a la información pública en México? </w:t>
      </w:r>
    </w:p>
    <w:p w:rsidR="00426A6F" w:rsidRDefault="00426A6F" w:rsidP="00426A6F">
      <w:pPr>
        <w:spacing w:line="360" w:lineRule="auto"/>
        <w:jc w:val="both"/>
      </w:pPr>
    </w:p>
    <w:p w:rsidR="00CB7F32" w:rsidRPr="00426A6F" w:rsidRDefault="00140AA3" w:rsidP="00426A6F">
      <w:pPr>
        <w:spacing w:line="360" w:lineRule="auto"/>
        <w:jc w:val="both"/>
      </w:pPr>
      <w:r w:rsidRPr="00426A6F">
        <w:t>Los objetivos establecidos para la investigación son los siguientes:</w:t>
      </w:r>
    </w:p>
    <w:p w:rsidR="00F307B1" w:rsidRPr="00426A6F" w:rsidRDefault="00F307B1" w:rsidP="00426A6F">
      <w:pPr>
        <w:spacing w:line="360" w:lineRule="auto"/>
        <w:jc w:val="both"/>
      </w:pPr>
    </w:p>
    <w:p w:rsidR="00140AA3" w:rsidRPr="00426A6F" w:rsidRDefault="00140AA3" w:rsidP="00426A6F">
      <w:pPr>
        <w:pStyle w:val="Prrafodelista"/>
        <w:numPr>
          <w:ilvl w:val="0"/>
          <w:numId w:val="3"/>
        </w:numPr>
        <w:spacing w:line="360" w:lineRule="auto"/>
        <w:ind w:firstLine="0"/>
        <w:jc w:val="both"/>
      </w:pPr>
      <w:r w:rsidRPr="00426A6F">
        <w:t>Ubicar el derecho de acceso a la información pública en México.</w:t>
      </w:r>
    </w:p>
    <w:p w:rsidR="00140AA3" w:rsidRPr="00426A6F" w:rsidRDefault="00140AA3" w:rsidP="00426A6F">
      <w:pPr>
        <w:pStyle w:val="Prrafodelista"/>
        <w:numPr>
          <w:ilvl w:val="0"/>
          <w:numId w:val="3"/>
        </w:numPr>
        <w:spacing w:line="360" w:lineRule="auto"/>
        <w:ind w:firstLine="0"/>
        <w:jc w:val="both"/>
      </w:pPr>
      <w:r w:rsidRPr="00426A6F">
        <w:t xml:space="preserve">Definir la naturaleza jurídica del derecho de acceso a la información pública en México. </w:t>
      </w:r>
    </w:p>
    <w:p w:rsidR="00140AA3" w:rsidRPr="00426A6F" w:rsidRDefault="00140AA3" w:rsidP="00426A6F">
      <w:pPr>
        <w:pStyle w:val="Prrafodelista"/>
        <w:numPr>
          <w:ilvl w:val="0"/>
          <w:numId w:val="3"/>
        </w:numPr>
        <w:spacing w:line="360" w:lineRule="auto"/>
        <w:ind w:firstLine="0"/>
        <w:jc w:val="both"/>
      </w:pPr>
      <w:r w:rsidRPr="00426A6F">
        <w:t>Establecer la garantía constitucional para</w:t>
      </w:r>
      <w:r w:rsidR="0090567F" w:rsidRPr="00426A6F">
        <w:t xml:space="preserve"> </w:t>
      </w:r>
      <w:r w:rsidRPr="00426A6F">
        <w:t xml:space="preserve">el derecho de acceso a la información pública en México. </w:t>
      </w:r>
    </w:p>
    <w:p w:rsidR="00140AA3" w:rsidRPr="00426A6F" w:rsidRDefault="00140AA3" w:rsidP="00426A6F">
      <w:pPr>
        <w:pStyle w:val="Prrafodelista"/>
        <w:numPr>
          <w:ilvl w:val="0"/>
          <w:numId w:val="3"/>
        </w:numPr>
        <w:spacing w:line="360" w:lineRule="auto"/>
        <w:ind w:firstLine="0"/>
        <w:jc w:val="both"/>
      </w:pPr>
      <w:r w:rsidRPr="00426A6F">
        <w:t>Fundar las bases constitucionales, convencionales y legales de la garantía constitucional, para la protección del derecho de acceso a la información pública en México.</w:t>
      </w:r>
    </w:p>
    <w:p w:rsidR="00140AA3" w:rsidRPr="00426A6F" w:rsidRDefault="00140AA3" w:rsidP="00426A6F">
      <w:pPr>
        <w:pStyle w:val="Prrafodelista"/>
        <w:numPr>
          <w:ilvl w:val="0"/>
          <w:numId w:val="3"/>
        </w:numPr>
        <w:spacing w:line="360" w:lineRule="auto"/>
        <w:ind w:firstLine="0"/>
        <w:jc w:val="both"/>
      </w:pPr>
      <w:r w:rsidRPr="00426A6F">
        <w:t>Indagar y analizar el uso cuantitativo y cualitativo del derecho de acceso a la información pública en México.</w:t>
      </w:r>
    </w:p>
    <w:p w:rsidR="00140AA3" w:rsidRPr="00426A6F" w:rsidRDefault="00140AA3" w:rsidP="00426A6F">
      <w:pPr>
        <w:pStyle w:val="Prrafodelista"/>
        <w:numPr>
          <w:ilvl w:val="0"/>
          <w:numId w:val="3"/>
        </w:numPr>
        <w:spacing w:line="360" w:lineRule="auto"/>
        <w:ind w:firstLine="0"/>
        <w:jc w:val="both"/>
      </w:pPr>
      <w:r w:rsidRPr="00426A6F">
        <w:t>Determinar los efectos de la garantía constitucional para la protección del derecho de acceso a la información pública en México.</w:t>
      </w:r>
    </w:p>
    <w:p w:rsidR="00F307B1" w:rsidRPr="00426A6F" w:rsidRDefault="00F307B1" w:rsidP="00426A6F">
      <w:pPr>
        <w:spacing w:line="360" w:lineRule="auto"/>
        <w:ind w:left="705"/>
        <w:jc w:val="both"/>
      </w:pPr>
    </w:p>
    <w:p w:rsidR="00CB7F32" w:rsidRPr="00426A6F" w:rsidRDefault="00140AA3" w:rsidP="00426A6F">
      <w:pPr>
        <w:spacing w:line="360" w:lineRule="auto"/>
        <w:jc w:val="both"/>
      </w:pPr>
      <w:r w:rsidRPr="00426A6F">
        <w:t>Se considera que las interrogantes y objetivos planteados se plasman de forma enunciativa y no limitativa</w:t>
      </w:r>
      <w:r w:rsidR="0090567F" w:rsidRPr="00426A6F">
        <w:t xml:space="preserve">. Si </w:t>
      </w:r>
      <w:r w:rsidR="00593386" w:rsidRPr="00426A6F">
        <w:t>es necesario</w:t>
      </w:r>
      <w:r w:rsidRPr="00426A6F">
        <w:t xml:space="preserve"> replantear</w:t>
      </w:r>
      <w:r w:rsidR="00593386" w:rsidRPr="00426A6F">
        <w:t>los</w:t>
      </w:r>
      <w:r w:rsidRPr="00426A6F">
        <w:t xml:space="preserve"> se hará </w:t>
      </w:r>
      <w:r w:rsidR="00593386" w:rsidRPr="00426A6F">
        <w:t>durante</w:t>
      </w:r>
      <w:r w:rsidRPr="00426A6F">
        <w:t xml:space="preserve"> </w:t>
      </w:r>
      <w:r w:rsidR="00593386" w:rsidRPr="00426A6F">
        <w:t>la</w:t>
      </w:r>
      <w:r w:rsidRPr="00426A6F">
        <w:t xml:space="preserve"> ampliación de</w:t>
      </w:r>
      <w:r w:rsidR="00593386" w:rsidRPr="00426A6F">
        <w:t xml:space="preserve"> esta</w:t>
      </w:r>
      <w:r w:rsidRPr="00426A6F">
        <w:t xml:space="preserve"> investigación.</w:t>
      </w:r>
    </w:p>
    <w:p w:rsidR="00996465" w:rsidRPr="00426A6F" w:rsidRDefault="00996465" w:rsidP="00426A6F">
      <w:pPr>
        <w:spacing w:line="360" w:lineRule="auto"/>
        <w:jc w:val="both"/>
      </w:pPr>
    </w:p>
    <w:p w:rsidR="006E7C0C" w:rsidRPr="00426A6F" w:rsidRDefault="002B5A5B" w:rsidP="00426A6F">
      <w:pPr>
        <w:spacing w:after="200" w:line="360" w:lineRule="auto"/>
        <w:jc w:val="both"/>
        <w:rPr>
          <w:rFonts w:eastAsia="Calibri"/>
          <w:b/>
          <w:bCs/>
          <w:color w:val="365F91" w:themeColor="accent1" w:themeShade="BF"/>
          <w:lang w:eastAsia="en-US"/>
        </w:rPr>
      </w:pPr>
      <w:r w:rsidRPr="00426A6F">
        <w:rPr>
          <w:b/>
          <w:color w:val="222222"/>
          <w:lang w:val="es-MX" w:eastAsia="es-MX"/>
        </w:rPr>
        <w:t>RESULTADOS</w:t>
      </w:r>
    </w:p>
    <w:p w:rsidR="007F24DC" w:rsidRPr="00426A6F" w:rsidRDefault="006E7C0C" w:rsidP="00426A6F">
      <w:pPr>
        <w:spacing w:after="200" w:line="360" w:lineRule="auto"/>
        <w:jc w:val="both"/>
        <w:rPr>
          <w:rFonts w:eastAsia="Calibri"/>
          <w:lang w:eastAsia="en-US"/>
        </w:rPr>
      </w:pPr>
      <w:r w:rsidRPr="00426A6F">
        <w:rPr>
          <w:rFonts w:eastAsia="Calibri"/>
          <w:lang w:eastAsia="en-US"/>
        </w:rPr>
        <w:t xml:space="preserve">Marcel Claude Reyes, Sebastián Cox </w:t>
      </w:r>
      <w:proofErr w:type="spellStart"/>
      <w:r w:rsidRPr="00426A6F">
        <w:rPr>
          <w:rFonts w:eastAsia="Calibri"/>
          <w:lang w:eastAsia="en-US"/>
        </w:rPr>
        <w:t>Urrejola</w:t>
      </w:r>
      <w:proofErr w:type="spellEnd"/>
      <w:r w:rsidRPr="00426A6F">
        <w:rPr>
          <w:rFonts w:eastAsia="Calibri"/>
          <w:lang w:eastAsia="en-US"/>
        </w:rPr>
        <w:t xml:space="preserve"> y Arturo </w:t>
      </w:r>
      <w:proofErr w:type="spellStart"/>
      <w:r w:rsidRPr="00426A6F">
        <w:rPr>
          <w:rFonts w:eastAsia="Calibri"/>
          <w:lang w:eastAsia="en-US"/>
        </w:rPr>
        <w:t>Longton</w:t>
      </w:r>
      <w:proofErr w:type="spellEnd"/>
      <w:r w:rsidRPr="00426A6F">
        <w:rPr>
          <w:rFonts w:eastAsia="Calibri"/>
          <w:lang w:eastAsia="en-US"/>
        </w:rPr>
        <w:t>, ciudadanos chilenos</w:t>
      </w:r>
      <w:r w:rsidR="002A1CE1" w:rsidRPr="00426A6F">
        <w:rPr>
          <w:rFonts w:eastAsia="Calibri"/>
          <w:lang w:eastAsia="en-US"/>
        </w:rPr>
        <w:t>,</w:t>
      </w:r>
      <w:r w:rsidRPr="00426A6F">
        <w:rPr>
          <w:rFonts w:eastAsia="Calibri"/>
          <w:lang w:eastAsia="en-US"/>
        </w:rPr>
        <w:t xml:space="preserve"> presentaron una petición a la Comisión Interamericana de Derechos Humanos en diciembre de 1998</w:t>
      </w:r>
      <w:r w:rsidR="00B43970" w:rsidRPr="00426A6F">
        <w:rPr>
          <w:rFonts w:eastAsia="Calibri"/>
          <w:lang w:eastAsia="en-US"/>
        </w:rPr>
        <w:t>,</w:t>
      </w:r>
      <w:r w:rsidRPr="00426A6F">
        <w:rPr>
          <w:rFonts w:eastAsia="Calibri"/>
          <w:lang w:eastAsia="en-US"/>
        </w:rPr>
        <w:t xml:space="preserve"> representados por el abogado Juan Pablo Olmedo Bustos, conocido por la sentencia "La última Tentación de Cristo"</w:t>
      </w:r>
      <w:r w:rsidR="007F24DC" w:rsidRPr="00426A6F">
        <w:rPr>
          <w:rFonts w:eastAsia="Calibri"/>
          <w:lang w:eastAsia="en-US"/>
        </w:rPr>
        <w:t>.</w:t>
      </w:r>
    </w:p>
    <w:p w:rsidR="007F24DC" w:rsidRPr="00426A6F" w:rsidRDefault="007F24DC" w:rsidP="00426A6F">
      <w:pPr>
        <w:spacing w:after="200" w:line="360" w:lineRule="auto"/>
        <w:jc w:val="both"/>
        <w:rPr>
          <w:rFonts w:eastAsia="Calibri"/>
          <w:lang w:eastAsia="en-US"/>
        </w:rPr>
      </w:pPr>
      <w:r w:rsidRPr="00426A6F">
        <w:rPr>
          <w:rFonts w:eastAsia="Calibri"/>
          <w:lang w:eastAsia="en-US"/>
        </w:rPr>
        <w:lastRenderedPageBreak/>
        <w:t xml:space="preserve">La petición era por la negativa del Estado </w:t>
      </w:r>
      <w:r w:rsidR="00B43970" w:rsidRPr="00426A6F">
        <w:rPr>
          <w:rFonts w:eastAsia="Calibri"/>
          <w:lang w:eastAsia="en-US"/>
        </w:rPr>
        <w:t>c</w:t>
      </w:r>
      <w:r w:rsidRPr="00426A6F">
        <w:rPr>
          <w:rFonts w:eastAsia="Calibri"/>
          <w:lang w:eastAsia="en-US"/>
        </w:rPr>
        <w:t>hileno de brindar información relacionada a un proyecto de industrialización forestal, así como la ausencia de un recurso efecti</w:t>
      </w:r>
      <w:r w:rsidR="0082185F" w:rsidRPr="00426A6F">
        <w:rPr>
          <w:rFonts w:eastAsia="Calibri"/>
          <w:lang w:eastAsia="en-US"/>
        </w:rPr>
        <w:t xml:space="preserve">vo para cuestionar </w:t>
      </w:r>
      <w:r w:rsidR="00B43970" w:rsidRPr="00426A6F">
        <w:rPr>
          <w:rFonts w:eastAsia="Calibri"/>
          <w:lang w:eastAsia="en-US"/>
        </w:rPr>
        <w:t>dicha</w:t>
      </w:r>
      <w:r w:rsidR="0082185F" w:rsidRPr="00426A6F">
        <w:rPr>
          <w:rFonts w:eastAsia="Calibri"/>
          <w:lang w:eastAsia="en-US"/>
        </w:rPr>
        <w:t xml:space="preserve"> decisión</w:t>
      </w:r>
      <w:r w:rsidR="00851B56" w:rsidRPr="00426A6F">
        <w:rPr>
          <w:rFonts w:eastAsia="Calibri"/>
          <w:lang w:eastAsia="en-US"/>
        </w:rPr>
        <w:t xml:space="preserve"> (Corte Interamericana de Derechos Humanos, 2008)</w:t>
      </w:r>
      <w:r w:rsidR="002A1CE1" w:rsidRPr="00426A6F">
        <w:rPr>
          <w:rFonts w:eastAsia="Calibri"/>
          <w:lang w:eastAsia="en-US"/>
        </w:rPr>
        <w:t>.</w:t>
      </w:r>
    </w:p>
    <w:p w:rsidR="007F24DC" w:rsidRPr="00426A6F" w:rsidRDefault="007F24DC" w:rsidP="00426A6F">
      <w:pPr>
        <w:spacing w:after="200" w:line="360" w:lineRule="auto"/>
        <w:jc w:val="both"/>
        <w:rPr>
          <w:rFonts w:eastAsia="Calibri"/>
          <w:lang w:eastAsia="en-US"/>
        </w:rPr>
      </w:pPr>
      <w:r w:rsidRPr="00426A6F">
        <w:rPr>
          <w:rFonts w:eastAsia="Calibri"/>
          <w:lang w:eastAsia="en-US"/>
        </w:rPr>
        <w:t>En mayo de 1998</w:t>
      </w:r>
      <w:r w:rsidR="002A1CE1" w:rsidRPr="00426A6F">
        <w:rPr>
          <w:rFonts w:eastAsia="Calibri"/>
          <w:lang w:eastAsia="en-US"/>
        </w:rPr>
        <w:t>,</w:t>
      </w:r>
      <w:r w:rsidRPr="00426A6F">
        <w:rPr>
          <w:rFonts w:eastAsia="Calibri"/>
          <w:lang w:eastAsia="en-US"/>
        </w:rPr>
        <w:t xml:space="preserve"> Claude Reyes, </w:t>
      </w:r>
      <w:r w:rsidR="002A1CE1" w:rsidRPr="00426A6F">
        <w:rPr>
          <w:rFonts w:eastAsia="Calibri"/>
          <w:lang w:eastAsia="en-US"/>
        </w:rPr>
        <w:t>d</w:t>
      </w:r>
      <w:r w:rsidRPr="00426A6F">
        <w:rPr>
          <w:rFonts w:eastAsia="Calibri"/>
          <w:lang w:eastAsia="en-US"/>
        </w:rPr>
        <w:t xml:space="preserve">irector de la Fundación </w:t>
      </w:r>
      <w:proofErr w:type="spellStart"/>
      <w:r w:rsidRPr="00426A6F">
        <w:rPr>
          <w:rFonts w:eastAsia="Calibri"/>
          <w:lang w:eastAsia="en-US"/>
        </w:rPr>
        <w:t>Terram</w:t>
      </w:r>
      <w:proofErr w:type="spellEnd"/>
      <w:r w:rsidRPr="00426A6F">
        <w:rPr>
          <w:rFonts w:eastAsia="Calibri"/>
          <w:lang w:eastAsia="en-US"/>
        </w:rPr>
        <w:t xml:space="preserve">, solicitó al Comité de Inversiones Extranjeras información relacionada </w:t>
      </w:r>
      <w:r w:rsidR="002A1CE1" w:rsidRPr="00426A6F">
        <w:rPr>
          <w:rFonts w:eastAsia="Calibri"/>
          <w:lang w:eastAsia="en-US"/>
        </w:rPr>
        <w:t>con</w:t>
      </w:r>
      <w:r w:rsidRPr="00426A6F">
        <w:rPr>
          <w:rFonts w:eastAsia="Calibri"/>
          <w:lang w:eastAsia="en-US"/>
        </w:rPr>
        <w:t xml:space="preserve"> un proyecto de industrialización forestal, </w:t>
      </w:r>
      <w:r w:rsidR="002A1CE1" w:rsidRPr="00426A6F">
        <w:rPr>
          <w:rFonts w:eastAsia="Calibri"/>
          <w:lang w:eastAsia="en-US"/>
        </w:rPr>
        <w:t xml:space="preserve">pero </w:t>
      </w:r>
      <w:r w:rsidRPr="00426A6F">
        <w:rPr>
          <w:rFonts w:eastAsia="Calibri"/>
          <w:lang w:eastAsia="en-US"/>
        </w:rPr>
        <w:t>su solicitud fue denegada. En julio del mismo año</w:t>
      </w:r>
      <w:r w:rsidR="002A1CE1" w:rsidRPr="00426A6F">
        <w:rPr>
          <w:rFonts w:eastAsia="Calibri"/>
          <w:lang w:eastAsia="en-US"/>
        </w:rPr>
        <w:t>,</w:t>
      </w:r>
      <w:r w:rsidRPr="00426A6F">
        <w:rPr>
          <w:rFonts w:eastAsia="Calibri"/>
          <w:lang w:eastAsia="en-US"/>
        </w:rPr>
        <w:t xml:space="preserve"> Reyes (representando a </w:t>
      </w:r>
      <w:proofErr w:type="spellStart"/>
      <w:r w:rsidRPr="00426A6F">
        <w:rPr>
          <w:rFonts w:eastAsia="Calibri"/>
          <w:lang w:eastAsia="en-US"/>
        </w:rPr>
        <w:t>Terram</w:t>
      </w:r>
      <w:proofErr w:type="spellEnd"/>
      <w:r w:rsidRPr="00426A6F">
        <w:rPr>
          <w:rFonts w:eastAsia="Calibri"/>
          <w:lang w:eastAsia="en-US"/>
        </w:rPr>
        <w:t xml:space="preserve">), Cox (representando a la ONG Forja) y </w:t>
      </w:r>
      <w:proofErr w:type="spellStart"/>
      <w:r w:rsidRPr="00426A6F">
        <w:rPr>
          <w:rFonts w:eastAsia="Calibri"/>
          <w:lang w:eastAsia="en-US"/>
        </w:rPr>
        <w:t>Longton</w:t>
      </w:r>
      <w:proofErr w:type="spellEnd"/>
      <w:r w:rsidRPr="00426A6F">
        <w:rPr>
          <w:rFonts w:eastAsia="Calibri"/>
          <w:lang w:eastAsia="en-US"/>
        </w:rPr>
        <w:t xml:space="preserve"> (diputado </w:t>
      </w:r>
      <w:r w:rsidR="002A1CE1" w:rsidRPr="00426A6F">
        <w:rPr>
          <w:rFonts w:eastAsia="Calibri"/>
          <w:lang w:eastAsia="en-US"/>
        </w:rPr>
        <w:t>c</w:t>
      </w:r>
      <w:r w:rsidRPr="00426A6F">
        <w:rPr>
          <w:rFonts w:eastAsia="Calibri"/>
          <w:lang w:eastAsia="en-US"/>
        </w:rPr>
        <w:t>hileno), presentaron un recurso de protección ante la Corte de Apelaciones de Santiago. Dicho recurso se presentó debido a la negativa de la CIE de brindar información acerca del proyecto</w:t>
      </w:r>
      <w:r w:rsidR="00B43970" w:rsidRPr="00426A6F">
        <w:rPr>
          <w:rFonts w:eastAsia="Calibri"/>
          <w:lang w:eastAsia="en-US"/>
        </w:rPr>
        <w:t>;</w:t>
      </w:r>
      <w:r w:rsidRPr="00426A6F">
        <w:rPr>
          <w:rFonts w:eastAsia="Calibri"/>
          <w:lang w:eastAsia="en-US"/>
        </w:rPr>
        <w:t xml:space="preserve"> </w:t>
      </w:r>
      <w:r w:rsidR="002A1CE1" w:rsidRPr="00426A6F">
        <w:rPr>
          <w:rFonts w:eastAsia="Calibri"/>
          <w:lang w:eastAsia="en-US"/>
        </w:rPr>
        <w:t>no obstante</w:t>
      </w:r>
      <w:r w:rsidR="00B43970" w:rsidRPr="00426A6F">
        <w:rPr>
          <w:rFonts w:eastAsia="Calibri"/>
          <w:lang w:eastAsia="en-US"/>
        </w:rPr>
        <w:t>,</w:t>
      </w:r>
      <w:r w:rsidR="002A1CE1" w:rsidRPr="00426A6F">
        <w:rPr>
          <w:rFonts w:eastAsia="Calibri"/>
          <w:lang w:eastAsia="en-US"/>
        </w:rPr>
        <w:t xml:space="preserve"> </w:t>
      </w:r>
      <w:r w:rsidRPr="00426A6F">
        <w:rPr>
          <w:rFonts w:eastAsia="Calibri"/>
          <w:lang w:eastAsia="en-US"/>
        </w:rPr>
        <w:t>el re</w:t>
      </w:r>
      <w:r w:rsidR="00EC0E2A" w:rsidRPr="00426A6F">
        <w:rPr>
          <w:rFonts w:eastAsia="Calibri"/>
          <w:lang w:eastAsia="en-US"/>
        </w:rPr>
        <w:t>curso fue declarado inadmisible</w:t>
      </w:r>
      <w:r w:rsidR="00851B56" w:rsidRPr="00426A6F">
        <w:rPr>
          <w:rFonts w:eastAsia="Calibri"/>
          <w:lang w:eastAsia="en-US"/>
        </w:rPr>
        <w:t xml:space="preserve"> (CIDH, 2008).</w:t>
      </w:r>
    </w:p>
    <w:p w:rsidR="007F24DC" w:rsidRPr="00426A6F" w:rsidRDefault="007F24DC" w:rsidP="00426A6F">
      <w:pPr>
        <w:spacing w:after="200" w:line="360" w:lineRule="auto"/>
        <w:jc w:val="both"/>
        <w:rPr>
          <w:rFonts w:eastAsia="Calibri"/>
          <w:lang w:eastAsia="en-US"/>
        </w:rPr>
      </w:pPr>
      <w:r w:rsidRPr="00426A6F">
        <w:rPr>
          <w:rFonts w:eastAsia="Calibri"/>
          <w:lang w:eastAsia="en-US"/>
        </w:rPr>
        <w:t>El 17 de diciembre de 1998</w:t>
      </w:r>
      <w:r w:rsidR="00BB1F47" w:rsidRPr="00426A6F">
        <w:rPr>
          <w:rFonts w:eastAsia="Calibri"/>
          <w:lang w:eastAsia="en-US"/>
        </w:rPr>
        <w:t>,</w:t>
      </w:r>
      <w:r w:rsidRPr="00426A6F">
        <w:rPr>
          <w:rFonts w:eastAsia="Calibri"/>
          <w:lang w:eastAsia="en-US"/>
        </w:rPr>
        <w:t xml:space="preserve"> los tres chilenos presentaron la petición a la Comisión Interamericana</w:t>
      </w:r>
      <w:r w:rsidR="00B43970" w:rsidRPr="00426A6F">
        <w:rPr>
          <w:rFonts w:eastAsia="Calibri"/>
          <w:lang w:eastAsia="en-US"/>
        </w:rPr>
        <w:t xml:space="preserve">, y </w:t>
      </w:r>
      <w:r w:rsidR="00BB1F47" w:rsidRPr="00426A6F">
        <w:rPr>
          <w:rFonts w:eastAsia="Calibri"/>
          <w:lang w:eastAsia="en-US"/>
        </w:rPr>
        <w:t>fue admitida</w:t>
      </w:r>
      <w:r w:rsidRPr="00426A6F">
        <w:rPr>
          <w:rFonts w:eastAsia="Calibri"/>
          <w:lang w:eastAsia="en-US"/>
        </w:rPr>
        <w:t xml:space="preserve"> </w:t>
      </w:r>
      <w:r w:rsidR="00BB1F47" w:rsidRPr="00426A6F">
        <w:rPr>
          <w:rFonts w:eastAsia="Calibri"/>
          <w:lang w:eastAsia="en-US"/>
        </w:rPr>
        <w:t>el</w:t>
      </w:r>
      <w:r w:rsidRPr="00426A6F">
        <w:rPr>
          <w:rFonts w:eastAsia="Calibri"/>
          <w:lang w:eastAsia="en-US"/>
        </w:rPr>
        <w:t xml:space="preserve"> 10 de </w:t>
      </w:r>
      <w:r w:rsidR="00BB1F47" w:rsidRPr="00426A6F">
        <w:rPr>
          <w:rFonts w:eastAsia="Calibri"/>
          <w:lang w:eastAsia="en-US"/>
        </w:rPr>
        <w:t>o</w:t>
      </w:r>
      <w:r w:rsidRPr="00426A6F">
        <w:rPr>
          <w:rFonts w:eastAsia="Calibri"/>
          <w:lang w:eastAsia="en-US"/>
        </w:rPr>
        <w:t xml:space="preserve">ctubre de 2003 y </w:t>
      </w:r>
      <w:r w:rsidR="00B43970" w:rsidRPr="00426A6F">
        <w:rPr>
          <w:rFonts w:eastAsia="Calibri"/>
          <w:lang w:eastAsia="en-US"/>
        </w:rPr>
        <w:t>emitido</w:t>
      </w:r>
      <w:r w:rsidRPr="00426A6F">
        <w:rPr>
          <w:rFonts w:eastAsia="Calibri"/>
          <w:lang w:eastAsia="en-US"/>
        </w:rPr>
        <w:t xml:space="preserve"> un informe de fondo en marzo de 2005. La Comisión decidió remitir el caso a la Corte </w:t>
      </w:r>
      <w:r w:rsidR="00225A5A" w:rsidRPr="00426A6F">
        <w:rPr>
          <w:rFonts w:eastAsia="Calibri"/>
          <w:lang w:eastAsia="en-US"/>
        </w:rPr>
        <w:t>Interamericana en julio de 2005</w:t>
      </w:r>
      <w:r w:rsidR="00851B56" w:rsidRPr="00426A6F">
        <w:rPr>
          <w:rFonts w:eastAsia="Calibri"/>
          <w:lang w:eastAsia="en-US"/>
        </w:rPr>
        <w:t xml:space="preserve"> (CIDH, 2008)</w:t>
      </w:r>
      <w:r w:rsidR="00225A5A" w:rsidRPr="00426A6F">
        <w:rPr>
          <w:rFonts w:eastAsia="Calibri"/>
          <w:lang w:eastAsia="en-US"/>
        </w:rPr>
        <w:t>.</w:t>
      </w:r>
    </w:p>
    <w:p w:rsidR="00E22121" w:rsidRPr="00426A6F" w:rsidRDefault="00E22121" w:rsidP="00426A6F">
      <w:pPr>
        <w:spacing w:after="200" w:line="360" w:lineRule="auto"/>
        <w:jc w:val="both"/>
        <w:rPr>
          <w:rFonts w:eastAsia="Calibri"/>
          <w:lang w:eastAsia="en-US"/>
        </w:rPr>
      </w:pPr>
      <w:r w:rsidRPr="00426A6F">
        <w:rPr>
          <w:rFonts w:eastAsia="Calibri"/>
          <w:lang w:eastAsia="en-US"/>
        </w:rPr>
        <w:t>La Comisión le solicitó a la Corte que declarar</w:t>
      </w:r>
      <w:r w:rsidR="00B43970" w:rsidRPr="00426A6F">
        <w:rPr>
          <w:rFonts w:eastAsia="Calibri"/>
          <w:lang w:eastAsia="en-US"/>
        </w:rPr>
        <w:t>a</w:t>
      </w:r>
      <w:r w:rsidRPr="00426A6F">
        <w:rPr>
          <w:rFonts w:eastAsia="Calibri"/>
          <w:lang w:eastAsia="en-US"/>
        </w:rPr>
        <w:t xml:space="preserve"> responsable al Estado </w:t>
      </w:r>
      <w:r w:rsidR="00BB1F47" w:rsidRPr="00426A6F">
        <w:rPr>
          <w:rFonts w:eastAsia="Calibri"/>
          <w:lang w:eastAsia="en-US"/>
        </w:rPr>
        <w:t>c</w:t>
      </w:r>
      <w:r w:rsidRPr="00426A6F">
        <w:rPr>
          <w:rFonts w:eastAsia="Calibri"/>
          <w:lang w:eastAsia="en-US"/>
        </w:rPr>
        <w:t>hileno por la violación de los artículos 13</w:t>
      </w:r>
      <w:r w:rsidR="00B43970" w:rsidRPr="00426A6F">
        <w:rPr>
          <w:rFonts w:eastAsia="Calibri"/>
          <w:lang w:eastAsia="en-US"/>
        </w:rPr>
        <w:t>°</w:t>
      </w:r>
      <w:r w:rsidRPr="00426A6F">
        <w:rPr>
          <w:rFonts w:eastAsia="Calibri"/>
          <w:lang w:eastAsia="en-US"/>
        </w:rPr>
        <w:t xml:space="preserve"> y 25</w:t>
      </w:r>
      <w:r w:rsidR="00B43970" w:rsidRPr="00426A6F">
        <w:rPr>
          <w:rFonts w:eastAsia="Calibri"/>
          <w:lang w:eastAsia="en-US"/>
        </w:rPr>
        <w:t>°</w:t>
      </w:r>
      <w:r w:rsidRPr="00426A6F">
        <w:rPr>
          <w:rFonts w:eastAsia="Calibri"/>
          <w:lang w:eastAsia="en-US"/>
        </w:rPr>
        <w:t xml:space="preserve"> de la Convención Americana, los cuales nos hablan del acceso a la información y protección judicial respectivamente. El tribunal internacional </w:t>
      </w:r>
      <w:r w:rsidR="0082185F" w:rsidRPr="00426A6F">
        <w:rPr>
          <w:rFonts w:eastAsia="Calibri"/>
          <w:lang w:eastAsia="en-US"/>
        </w:rPr>
        <w:t>coincidió</w:t>
      </w:r>
      <w:r w:rsidRPr="00426A6F">
        <w:rPr>
          <w:rFonts w:eastAsia="Calibri"/>
          <w:lang w:eastAsia="en-US"/>
        </w:rPr>
        <w:t xml:space="preserve"> con las violaciones alegadas por la Comisión y estimaron también violados los artículos 8</w:t>
      </w:r>
      <w:r w:rsidR="00B43970" w:rsidRPr="00426A6F">
        <w:rPr>
          <w:rFonts w:eastAsia="Calibri"/>
          <w:lang w:eastAsia="en-US"/>
        </w:rPr>
        <w:t>°</w:t>
      </w:r>
      <w:r w:rsidRPr="00426A6F">
        <w:rPr>
          <w:rFonts w:eastAsia="Calibri"/>
          <w:lang w:eastAsia="en-US"/>
        </w:rPr>
        <w:t xml:space="preserve"> y 23</w:t>
      </w:r>
      <w:r w:rsidR="00B43970" w:rsidRPr="00426A6F">
        <w:rPr>
          <w:rFonts w:eastAsia="Calibri"/>
          <w:lang w:eastAsia="en-US"/>
        </w:rPr>
        <w:t>°</w:t>
      </w:r>
      <w:r w:rsidRPr="00426A6F">
        <w:rPr>
          <w:rFonts w:eastAsia="Calibri"/>
          <w:lang w:eastAsia="en-US"/>
        </w:rPr>
        <w:t xml:space="preserve"> del tratado</w:t>
      </w:r>
      <w:r w:rsidR="00B43970" w:rsidRPr="00426A6F">
        <w:rPr>
          <w:rFonts w:eastAsia="Calibri"/>
          <w:lang w:eastAsia="en-US"/>
        </w:rPr>
        <w:t>,</w:t>
      </w:r>
      <w:r w:rsidRPr="00426A6F">
        <w:rPr>
          <w:rFonts w:eastAsia="Calibri"/>
          <w:lang w:eastAsia="en-US"/>
        </w:rPr>
        <w:t xml:space="preserve"> que hablan sobre las garantías judiciales y los der</w:t>
      </w:r>
      <w:r w:rsidR="0082185F" w:rsidRPr="00426A6F">
        <w:rPr>
          <w:rFonts w:eastAsia="Calibri"/>
          <w:lang w:eastAsia="en-US"/>
        </w:rPr>
        <w:t>echos políticos respectivamente</w:t>
      </w:r>
      <w:r w:rsidR="00851B56" w:rsidRPr="00426A6F">
        <w:rPr>
          <w:rFonts w:eastAsia="Calibri"/>
          <w:lang w:eastAsia="en-US"/>
        </w:rPr>
        <w:t xml:space="preserve"> (CIDH, 2008)</w:t>
      </w:r>
      <w:r w:rsidR="0082185F" w:rsidRPr="00426A6F">
        <w:rPr>
          <w:rFonts w:eastAsia="Calibri"/>
          <w:lang w:eastAsia="en-US"/>
        </w:rPr>
        <w:t>.</w:t>
      </w:r>
    </w:p>
    <w:p w:rsidR="006E7C0C" w:rsidRPr="00426A6F" w:rsidRDefault="009C5255" w:rsidP="00426A6F">
      <w:pPr>
        <w:spacing w:after="200" w:line="360" w:lineRule="auto"/>
        <w:jc w:val="both"/>
        <w:rPr>
          <w:rFonts w:eastAsia="Calibri"/>
          <w:b/>
          <w:bCs/>
          <w:color w:val="365F91" w:themeColor="accent1" w:themeShade="BF"/>
          <w:lang w:eastAsia="en-US"/>
        </w:rPr>
      </w:pPr>
      <w:r w:rsidRPr="00426A6F">
        <w:rPr>
          <w:rFonts w:eastAsia="Calibri"/>
          <w:lang w:eastAsia="en-US"/>
        </w:rPr>
        <w:t xml:space="preserve">La solicitud de Reyes </w:t>
      </w:r>
      <w:r w:rsidR="00C9600A" w:rsidRPr="00426A6F">
        <w:rPr>
          <w:rFonts w:eastAsia="Calibri"/>
          <w:lang w:eastAsia="en-US"/>
        </w:rPr>
        <w:t>fue</w:t>
      </w:r>
      <w:r w:rsidRPr="00426A6F">
        <w:rPr>
          <w:rFonts w:eastAsia="Calibri"/>
          <w:lang w:eastAsia="en-US"/>
        </w:rPr>
        <w:t xml:space="preserve"> sobre un proyecto de explotación forestal en la provincia de Magallanes, conocido como Río Cóndor</w:t>
      </w:r>
      <w:r w:rsidR="00BB1F47" w:rsidRPr="00426A6F">
        <w:rPr>
          <w:rFonts w:eastAsia="Calibri"/>
          <w:lang w:eastAsia="en-US"/>
        </w:rPr>
        <w:t xml:space="preserve">, y su finalidad </w:t>
      </w:r>
      <w:r w:rsidRPr="00426A6F">
        <w:rPr>
          <w:rFonts w:eastAsia="Calibri"/>
          <w:lang w:eastAsia="en-US"/>
        </w:rPr>
        <w:t xml:space="preserve">era medir </w:t>
      </w:r>
      <w:r w:rsidR="00BB1F47" w:rsidRPr="00426A6F">
        <w:rPr>
          <w:rFonts w:eastAsia="Calibri"/>
          <w:lang w:eastAsia="en-US"/>
        </w:rPr>
        <w:t>su</w:t>
      </w:r>
      <w:r w:rsidRPr="00426A6F">
        <w:rPr>
          <w:rFonts w:eastAsia="Calibri"/>
          <w:lang w:eastAsia="en-US"/>
        </w:rPr>
        <w:t xml:space="preserve"> impacto </w:t>
      </w:r>
      <w:r w:rsidR="00BB1F47" w:rsidRPr="00426A6F">
        <w:rPr>
          <w:rFonts w:eastAsia="Calibri"/>
          <w:lang w:eastAsia="en-US"/>
        </w:rPr>
        <w:t>en e</w:t>
      </w:r>
      <w:r w:rsidRPr="00426A6F">
        <w:rPr>
          <w:rFonts w:eastAsia="Calibri"/>
          <w:lang w:eastAsia="en-US"/>
        </w:rPr>
        <w:t>l medio ambiente</w:t>
      </w:r>
      <w:r w:rsidR="00BB1F47" w:rsidRPr="00426A6F">
        <w:rPr>
          <w:rFonts w:eastAsia="Calibri"/>
          <w:lang w:eastAsia="en-US"/>
        </w:rPr>
        <w:t>. El proyecto lo e</w:t>
      </w:r>
      <w:r w:rsidRPr="00426A6F">
        <w:rPr>
          <w:rFonts w:eastAsia="Calibri"/>
          <w:lang w:eastAsia="en-US"/>
        </w:rPr>
        <w:t xml:space="preserve">ncabezaría la empresa extranjera Forestal </w:t>
      </w:r>
      <w:proofErr w:type="spellStart"/>
      <w:r w:rsidRPr="00426A6F">
        <w:rPr>
          <w:rFonts w:eastAsia="Calibri"/>
          <w:lang w:eastAsia="en-US"/>
        </w:rPr>
        <w:t>Trillium</w:t>
      </w:r>
      <w:proofErr w:type="spellEnd"/>
      <w:r w:rsidR="00BB1F47" w:rsidRPr="00426A6F">
        <w:rPr>
          <w:rFonts w:eastAsia="Calibri"/>
          <w:lang w:eastAsia="en-US"/>
        </w:rPr>
        <w:t>, pero</w:t>
      </w:r>
      <w:r w:rsidRPr="00426A6F">
        <w:rPr>
          <w:rFonts w:eastAsia="Calibri"/>
          <w:lang w:eastAsia="en-US"/>
        </w:rPr>
        <w:t xml:space="preserve"> nunca </w:t>
      </w:r>
      <w:r w:rsidR="00C9600A" w:rsidRPr="00426A6F">
        <w:rPr>
          <w:rFonts w:eastAsia="Calibri"/>
          <w:lang w:eastAsia="en-US"/>
        </w:rPr>
        <w:t xml:space="preserve">fue </w:t>
      </w:r>
      <w:r w:rsidRPr="00426A6F">
        <w:rPr>
          <w:rFonts w:eastAsia="Calibri"/>
          <w:lang w:eastAsia="en-US"/>
        </w:rPr>
        <w:t>l</w:t>
      </w:r>
      <w:r w:rsidR="00C9600A" w:rsidRPr="00426A6F">
        <w:rPr>
          <w:rFonts w:eastAsia="Calibri"/>
          <w:lang w:eastAsia="en-US"/>
        </w:rPr>
        <w:t>l</w:t>
      </w:r>
      <w:r w:rsidRPr="00426A6F">
        <w:rPr>
          <w:rFonts w:eastAsia="Calibri"/>
          <w:lang w:eastAsia="en-US"/>
        </w:rPr>
        <w:t>ev</w:t>
      </w:r>
      <w:r w:rsidR="00C9600A" w:rsidRPr="00426A6F">
        <w:rPr>
          <w:rFonts w:eastAsia="Calibri"/>
          <w:lang w:eastAsia="en-US"/>
        </w:rPr>
        <w:t>ado</w:t>
      </w:r>
      <w:r w:rsidRPr="00426A6F">
        <w:rPr>
          <w:rFonts w:eastAsia="Calibri"/>
          <w:lang w:eastAsia="en-US"/>
        </w:rPr>
        <w:t xml:space="preserve"> a cabo quizá por la presión política y mediática que </w:t>
      </w:r>
      <w:r w:rsidR="00081747" w:rsidRPr="00426A6F">
        <w:rPr>
          <w:rFonts w:eastAsia="Calibri"/>
          <w:lang w:eastAsia="en-US"/>
        </w:rPr>
        <w:t>generó</w:t>
      </w:r>
      <w:r w:rsidRPr="00426A6F">
        <w:rPr>
          <w:rFonts w:eastAsia="Calibri"/>
          <w:lang w:eastAsia="en-US"/>
        </w:rPr>
        <w:t xml:space="preserve"> la solicitud</w:t>
      </w:r>
      <w:r w:rsidR="00081747" w:rsidRPr="00426A6F">
        <w:rPr>
          <w:rFonts w:eastAsia="Calibri"/>
          <w:lang w:eastAsia="en-US"/>
        </w:rPr>
        <w:t xml:space="preserve">, </w:t>
      </w:r>
      <w:r w:rsidR="00C9600A" w:rsidRPr="00426A6F">
        <w:rPr>
          <w:rFonts w:eastAsia="Calibri"/>
          <w:lang w:eastAsia="en-US"/>
        </w:rPr>
        <w:t>pero el</w:t>
      </w:r>
      <w:r w:rsidRPr="00426A6F">
        <w:rPr>
          <w:rFonts w:eastAsia="Calibri"/>
          <w:lang w:eastAsia="en-US"/>
        </w:rPr>
        <w:t xml:space="preserve"> caso sentó un precedente emblemático sobre el Der</w:t>
      </w:r>
      <w:r w:rsidR="0082185F" w:rsidRPr="00426A6F">
        <w:rPr>
          <w:rFonts w:eastAsia="Calibri"/>
          <w:lang w:eastAsia="en-US"/>
        </w:rPr>
        <w:t>echo de Acceso a la Información</w:t>
      </w:r>
      <w:r w:rsidR="00851B56" w:rsidRPr="00426A6F">
        <w:rPr>
          <w:rFonts w:eastAsia="Calibri"/>
          <w:lang w:eastAsia="en-US"/>
        </w:rPr>
        <w:t xml:space="preserve"> (Olmedo Bustos, 2006)</w:t>
      </w:r>
      <w:r w:rsidR="0082185F" w:rsidRPr="00426A6F">
        <w:rPr>
          <w:rFonts w:eastAsia="Calibri"/>
          <w:lang w:eastAsia="en-US"/>
        </w:rPr>
        <w:t>.</w:t>
      </w:r>
    </w:p>
    <w:p w:rsidR="00267DA4" w:rsidRPr="00426A6F" w:rsidRDefault="001860BF" w:rsidP="00426A6F">
      <w:pPr>
        <w:spacing w:line="360" w:lineRule="auto"/>
        <w:jc w:val="both"/>
        <w:rPr>
          <w:rFonts w:eastAsia="Calibri"/>
          <w:lang w:val="es-MX" w:eastAsia="en-US"/>
        </w:rPr>
      </w:pPr>
      <w:r w:rsidRPr="00426A6F">
        <w:rPr>
          <w:rFonts w:eastAsia="Calibri"/>
          <w:lang w:eastAsia="en-US"/>
        </w:rPr>
        <w:t>El análisis sobre e</w:t>
      </w:r>
      <w:r w:rsidR="00666476" w:rsidRPr="00426A6F">
        <w:rPr>
          <w:rFonts w:eastAsia="Calibri"/>
          <w:lang w:eastAsia="en-US"/>
        </w:rPr>
        <w:t xml:space="preserve">l acceso a la información y el caso Claude Reyes </w:t>
      </w:r>
      <w:r w:rsidR="00081747" w:rsidRPr="00426A6F">
        <w:rPr>
          <w:rFonts w:eastAsia="Calibri"/>
          <w:lang w:eastAsia="en-US"/>
        </w:rPr>
        <w:t>confirma</w:t>
      </w:r>
      <w:r w:rsidRPr="00426A6F">
        <w:rPr>
          <w:rFonts w:eastAsia="Calibri"/>
          <w:lang w:eastAsia="en-US"/>
        </w:rPr>
        <w:t xml:space="preserve"> que, </w:t>
      </w:r>
      <w:r w:rsidR="00666476" w:rsidRPr="00426A6F">
        <w:rPr>
          <w:rFonts w:eastAsia="Calibri"/>
          <w:lang w:eastAsia="en-US"/>
        </w:rPr>
        <w:t>e</w:t>
      </w:r>
      <w:r w:rsidR="00267DA4" w:rsidRPr="00426A6F">
        <w:rPr>
          <w:rFonts w:eastAsia="Calibri"/>
          <w:lang w:eastAsia="en-US"/>
        </w:rPr>
        <w:t xml:space="preserve">n la medida en que </w:t>
      </w:r>
      <w:r w:rsidR="00BF6259" w:rsidRPr="00426A6F">
        <w:rPr>
          <w:rFonts w:eastAsia="Calibri"/>
          <w:lang w:eastAsia="en-US"/>
        </w:rPr>
        <w:t>haya confianza en que</w:t>
      </w:r>
      <w:r w:rsidR="00267DA4" w:rsidRPr="00426A6F">
        <w:rPr>
          <w:rFonts w:eastAsia="Calibri"/>
          <w:lang w:eastAsia="en-US"/>
        </w:rPr>
        <w:t xml:space="preserve"> las autoridades ha</w:t>
      </w:r>
      <w:r w:rsidR="00081747" w:rsidRPr="00426A6F">
        <w:rPr>
          <w:rFonts w:eastAsia="Calibri"/>
          <w:lang w:eastAsia="en-US"/>
        </w:rPr>
        <w:t>cen</w:t>
      </w:r>
      <w:r w:rsidR="00267DA4" w:rsidRPr="00426A6F">
        <w:rPr>
          <w:rFonts w:eastAsia="Calibri"/>
          <w:lang w:eastAsia="en-US"/>
        </w:rPr>
        <w:t xml:space="preserve"> público</w:t>
      </w:r>
      <w:r w:rsidR="00081747" w:rsidRPr="00426A6F">
        <w:rPr>
          <w:rFonts w:eastAsia="Calibri"/>
          <w:lang w:eastAsia="en-US"/>
        </w:rPr>
        <w:t>s</w:t>
      </w:r>
      <w:r w:rsidR="00267DA4" w:rsidRPr="00426A6F">
        <w:rPr>
          <w:rFonts w:eastAsia="Calibri"/>
          <w:lang w:eastAsia="en-US"/>
        </w:rPr>
        <w:t xml:space="preserve"> todos los documentos que gener</w:t>
      </w:r>
      <w:r w:rsidR="00081747" w:rsidRPr="00426A6F">
        <w:rPr>
          <w:rFonts w:eastAsia="Calibri"/>
          <w:lang w:eastAsia="en-US"/>
        </w:rPr>
        <w:t>a</w:t>
      </w:r>
      <w:r w:rsidR="00267DA4" w:rsidRPr="00426A6F">
        <w:rPr>
          <w:rFonts w:eastAsia="Calibri"/>
          <w:lang w:eastAsia="en-US"/>
        </w:rPr>
        <w:t>n o t</w:t>
      </w:r>
      <w:r w:rsidR="00081747" w:rsidRPr="00426A6F">
        <w:rPr>
          <w:rFonts w:eastAsia="Calibri"/>
          <w:lang w:eastAsia="en-US"/>
        </w:rPr>
        <w:t>ienen</w:t>
      </w:r>
      <w:r w:rsidR="00267DA4" w:rsidRPr="00426A6F">
        <w:rPr>
          <w:rFonts w:eastAsia="Calibri"/>
          <w:lang w:eastAsia="en-US"/>
        </w:rPr>
        <w:t xml:space="preserve"> en su poder y que solamente se reserva</w:t>
      </w:r>
      <w:r w:rsidR="00081747" w:rsidRPr="00426A6F">
        <w:rPr>
          <w:rFonts w:eastAsia="Calibri"/>
          <w:lang w:eastAsia="en-US"/>
        </w:rPr>
        <w:t>n</w:t>
      </w:r>
      <w:r w:rsidR="00267DA4" w:rsidRPr="00426A6F">
        <w:rPr>
          <w:rFonts w:eastAsia="Calibri"/>
          <w:lang w:eastAsia="en-US"/>
        </w:rPr>
        <w:t xml:space="preserve"> la información que pone en peligro la seguridad </w:t>
      </w:r>
      <w:r w:rsidR="00267DA4" w:rsidRPr="00426A6F">
        <w:rPr>
          <w:rFonts w:eastAsia="Calibri"/>
          <w:lang w:eastAsia="en-US"/>
        </w:rPr>
        <w:lastRenderedPageBreak/>
        <w:t xml:space="preserve">nacional o el interés público, </w:t>
      </w:r>
      <w:r w:rsidR="00BF6259" w:rsidRPr="00426A6F">
        <w:rPr>
          <w:rFonts w:eastAsia="Calibri"/>
          <w:lang w:eastAsia="en-US"/>
        </w:rPr>
        <w:t xml:space="preserve">es posible </w:t>
      </w:r>
      <w:r w:rsidR="00081747" w:rsidRPr="00426A6F">
        <w:rPr>
          <w:rFonts w:eastAsia="Calibri"/>
          <w:lang w:eastAsia="en-US"/>
        </w:rPr>
        <w:t>avanzar hacia</w:t>
      </w:r>
      <w:r w:rsidR="00267DA4" w:rsidRPr="00426A6F">
        <w:rPr>
          <w:rFonts w:eastAsia="Calibri"/>
          <w:lang w:eastAsia="en-US"/>
        </w:rPr>
        <w:t xml:space="preserve"> la consolidación democrática de nuestro país, </w:t>
      </w:r>
      <w:r w:rsidR="00081747" w:rsidRPr="00426A6F">
        <w:rPr>
          <w:rFonts w:eastAsia="Calibri"/>
          <w:lang w:eastAsia="en-US"/>
        </w:rPr>
        <w:t>mejorar las áreas</w:t>
      </w:r>
      <w:r w:rsidR="00267DA4" w:rsidRPr="00426A6F">
        <w:rPr>
          <w:rFonts w:eastAsia="Calibri"/>
          <w:lang w:eastAsia="en-US"/>
        </w:rPr>
        <w:t xml:space="preserve"> administrativa, regulatoria y gubernamental de México, </w:t>
      </w:r>
      <w:r w:rsidR="00081747" w:rsidRPr="00426A6F">
        <w:rPr>
          <w:rFonts w:eastAsia="Calibri"/>
          <w:lang w:eastAsia="en-US"/>
        </w:rPr>
        <w:t>y ten</w:t>
      </w:r>
      <w:r w:rsidR="00BF6259" w:rsidRPr="00426A6F">
        <w:rPr>
          <w:rFonts w:eastAsia="Calibri"/>
          <w:lang w:eastAsia="en-US"/>
        </w:rPr>
        <w:t>er</w:t>
      </w:r>
      <w:r w:rsidR="00081747" w:rsidRPr="00426A6F">
        <w:rPr>
          <w:rFonts w:eastAsia="Calibri"/>
          <w:lang w:eastAsia="en-US"/>
        </w:rPr>
        <w:t xml:space="preserve"> cada vez más</w:t>
      </w:r>
      <w:r w:rsidR="00267DA4" w:rsidRPr="00426A6F">
        <w:rPr>
          <w:rFonts w:eastAsia="Calibri"/>
          <w:lang w:eastAsia="en-US"/>
        </w:rPr>
        <w:t xml:space="preserve"> confianza, apertura, transparencia y verdadera participación ciudadana. </w:t>
      </w:r>
      <w:r w:rsidR="00742865" w:rsidRPr="00426A6F">
        <w:rPr>
          <w:rFonts w:eastAsia="Calibri"/>
          <w:lang w:eastAsia="en-US"/>
        </w:rPr>
        <w:t>Por sí solos, e</w:t>
      </w:r>
      <w:r w:rsidR="00267DA4" w:rsidRPr="00426A6F">
        <w:rPr>
          <w:rFonts w:eastAsia="Calibri"/>
          <w:lang w:eastAsia="en-US"/>
        </w:rPr>
        <w:t xml:space="preserve">stos factores </w:t>
      </w:r>
      <w:r w:rsidR="00224275" w:rsidRPr="00426A6F">
        <w:rPr>
          <w:rFonts w:eastAsia="Calibri"/>
          <w:lang w:eastAsia="en-US"/>
        </w:rPr>
        <w:t>ayudan a incrementar</w:t>
      </w:r>
      <w:r w:rsidR="00267DA4" w:rsidRPr="00426A6F">
        <w:rPr>
          <w:rFonts w:eastAsia="Calibri"/>
          <w:lang w:eastAsia="en-US"/>
        </w:rPr>
        <w:t xml:space="preserve"> </w:t>
      </w:r>
      <w:r w:rsidR="00224275" w:rsidRPr="00426A6F">
        <w:rPr>
          <w:rFonts w:eastAsia="Calibri"/>
          <w:lang w:eastAsia="en-US"/>
        </w:rPr>
        <w:t>el rendimiento institucional</w:t>
      </w:r>
      <w:r w:rsidR="00267DA4" w:rsidRPr="00426A6F">
        <w:rPr>
          <w:rFonts w:eastAsia="Calibri"/>
          <w:lang w:eastAsia="en-US"/>
        </w:rPr>
        <w:t>.</w:t>
      </w:r>
    </w:p>
    <w:p w:rsidR="00267DA4" w:rsidRPr="00426A6F" w:rsidRDefault="00267DA4" w:rsidP="00426A6F">
      <w:pPr>
        <w:spacing w:line="360" w:lineRule="auto"/>
        <w:jc w:val="both"/>
        <w:rPr>
          <w:rFonts w:eastAsia="Calibri"/>
          <w:lang w:eastAsia="en-US"/>
        </w:rPr>
      </w:pPr>
      <w:r w:rsidRPr="00426A6F">
        <w:rPr>
          <w:rFonts w:eastAsia="Calibri"/>
          <w:lang w:eastAsia="en-US"/>
        </w:rPr>
        <w:t xml:space="preserve">La garantía del derecho de acceso a la información beneficia de manera directa a todas las personas que utilizan los sistemas y portales de internet: los medios de comunicación, investigadores, estudiantes, la oposición, sociedad civil organizada, entre otros; pero de manera indirecta </w:t>
      </w:r>
      <w:r w:rsidR="00224275" w:rsidRPr="00426A6F">
        <w:rPr>
          <w:rFonts w:eastAsia="Calibri"/>
          <w:lang w:eastAsia="en-US"/>
        </w:rPr>
        <w:t xml:space="preserve">también </w:t>
      </w:r>
      <w:r w:rsidRPr="00426A6F">
        <w:rPr>
          <w:rFonts w:eastAsia="Calibri"/>
          <w:lang w:eastAsia="en-US"/>
        </w:rPr>
        <w:t>afecta a todos los individuo</w:t>
      </w:r>
      <w:r w:rsidR="002F699C" w:rsidRPr="00426A6F">
        <w:rPr>
          <w:rFonts w:eastAsia="Calibri"/>
          <w:lang w:eastAsia="en-US"/>
        </w:rPr>
        <w:t>s</w:t>
      </w:r>
      <w:r w:rsidR="00224275" w:rsidRPr="00426A6F">
        <w:rPr>
          <w:rFonts w:eastAsia="Calibri"/>
          <w:lang w:eastAsia="en-US"/>
        </w:rPr>
        <w:t>,</w:t>
      </w:r>
      <w:r w:rsidRPr="00426A6F">
        <w:rPr>
          <w:rFonts w:eastAsia="Calibri"/>
          <w:lang w:eastAsia="en-US"/>
        </w:rPr>
        <w:t xml:space="preserve"> ya que tener real acceso a la información puede </w:t>
      </w:r>
      <w:r w:rsidR="002F699C" w:rsidRPr="00426A6F">
        <w:rPr>
          <w:rFonts w:eastAsia="Calibri"/>
          <w:lang w:eastAsia="en-US"/>
        </w:rPr>
        <w:t>generar</w:t>
      </w:r>
      <w:r w:rsidR="00224275" w:rsidRPr="00426A6F">
        <w:rPr>
          <w:rFonts w:eastAsia="Calibri"/>
          <w:lang w:eastAsia="en-US"/>
        </w:rPr>
        <w:t xml:space="preserve"> </w:t>
      </w:r>
      <w:r w:rsidRPr="00426A6F">
        <w:rPr>
          <w:rFonts w:eastAsia="Calibri"/>
          <w:lang w:eastAsia="en-US"/>
        </w:rPr>
        <w:t>mejores condiciones de trabajo, mayor competitividad, nuevas oportunidades de negocio, estudios y análisis apegados a la realidad, entre otras muchas ventajas.</w:t>
      </w:r>
    </w:p>
    <w:p w:rsidR="00267DA4" w:rsidRPr="00426A6F" w:rsidRDefault="00267DA4" w:rsidP="00426A6F">
      <w:pPr>
        <w:spacing w:line="360" w:lineRule="auto"/>
        <w:jc w:val="both"/>
      </w:pPr>
      <w:r w:rsidRPr="00426A6F">
        <w:t xml:space="preserve">El derecho de Acceso a la Información nos permite </w:t>
      </w:r>
      <w:r w:rsidR="00A102A1" w:rsidRPr="00426A6F">
        <w:t>tener acceso a</w:t>
      </w:r>
      <w:r w:rsidRPr="00426A6F">
        <w:t xml:space="preserve"> todos los documentos generados o que est</w:t>
      </w:r>
      <w:r w:rsidR="00A102A1" w:rsidRPr="00426A6F">
        <w:t>á</w:t>
      </w:r>
      <w:r w:rsidRPr="00426A6F">
        <w:t>n en poder de las autoridades</w:t>
      </w:r>
      <w:r w:rsidR="00851B56" w:rsidRPr="00426A6F">
        <w:t xml:space="preserve"> (Ley Federal de Transparencia y Acceso a la Información Pública Gubernamental, 2002)</w:t>
      </w:r>
      <w:r w:rsidR="00A102A1" w:rsidRPr="00426A6F">
        <w:t>. Es</w:t>
      </w:r>
      <w:r w:rsidRPr="00426A6F">
        <w:t xml:space="preserve"> </w:t>
      </w:r>
      <w:r w:rsidR="00A102A1" w:rsidRPr="00426A6F">
        <w:t>i</w:t>
      </w:r>
      <w:r w:rsidRPr="00426A6F">
        <w:t>nformación estadística que pued</w:t>
      </w:r>
      <w:r w:rsidR="00A102A1" w:rsidRPr="00426A6F">
        <w:t>e</w:t>
      </w:r>
      <w:r w:rsidRPr="00426A6F">
        <w:t xml:space="preserve"> servir para nuestro negocio, </w:t>
      </w:r>
      <w:r w:rsidR="00A102A1" w:rsidRPr="00426A6F">
        <w:t xml:space="preserve">pues contiene </w:t>
      </w:r>
      <w:r w:rsidRPr="00426A6F">
        <w:t>inclus</w:t>
      </w:r>
      <w:r w:rsidR="00A102A1" w:rsidRPr="00426A6F">
        <w:t>o</w:t>
      </w:r>
      <w:r w:rsidRPr="00426A6F">
        <w:t xml:space="preserve"> los precios </w:t>
      </w:r>
      <w:r w:rsidR="00A102A1" w:rsidRPr="00426A6F">
        <w:t>de</w:t>
      </w:r>
      <w:r w:rsidRPr="00426A6F">
        <w:t xml:space="preserve"> compra</w:t>
      </w:r>
      <w:r w:rsidR="00A102A1" w:rsidRPr="00426A6F">
        <w:t xml:space="preserve"> de</w:t>
      </w:r>
      <w:r w:rsidRPr="00426A6F">
        <w:t xml:space="preserve"> varios productos que el propio gobierno pued</w:t>
      </w:r>
      <w:r w:rsidR="00A102A1" w:rsidRPr="00426A6F">
        <w:t>e</w:t>
      </w:r>
      <w:r w:rsidRPr="00426A6F">
        <w:t xml:space="preserve"> utilizar</w:t>
      </w:r>
      <w:r w:rsidR="00A102A1" w:rsidRPr="00426A6F">
        <w:t>,</w:t>
      </w:r>
      <w:r w:rsidRPr="00426A6F">
        <w:t xml:space="preserve"> lo que </w:t>
      </w:r>
      <w:r w:rsidR="00A102A1" w:rsidRPr="00426A6F">
        <w:t>puede</w:t>
      </w:r>
      <w:r w:rsidRPr="00426A6F">
        <w:t xml:space="preserve"> servir para </w:t>
      </w:r>
      <w:r w:rsidR="00A102A1" w:rsidRPr="00426A6F">
        <w:t>elaborar</w:t>
      </w:r>
      <w:r w:rsidRPr="00426A6F">
        <w:t xml:space="preserve"> una propuesta de venta </w:t>
      </w:r>
      <w:r w:rsidR="00A102A1" w:rsidRPr="00426A6F">
        <w:t>al gobierno por parte de las</w:t>
      </w:r>
      <w:r w:rsidRPr="00426A6F">
        <w:t xml:space="preserve"> empresas.</w:t>
      </w:r>
      <w:r w:rsidR="00A102A1" w:rsidRPr="00426A6F">
        <w:t xml:space="preserve"> Asimismo ayuda a posibles inversionistas y generadores de empleo a que tengan</w:t>
      </w:r>
      <w:r w:rsidRPr="00426A6F">
        <w:t xml:space="preserve"> una idea de la realidad económica y social del país</w:t>
      </w:r>
      <w:r w:rsidR="00A102A1" w:rsidRPr="00426A6F">
        <w:t>.</w:t>
      </w:r>
      <w:r w:rsidRPr="00426A6F">
        <w:t xml:space="preserve"> </w:t>
      </w:r>
    </w:p>
    <w:p w:rsidR="00267DA4" w:rsidRPr="00426A6F" w:rsidRDefault="002F699C" w:rsidP="00426A6F">
      <w:pPr>
        <w:spacing w:line="360" w:lineRule="auto"/>
        <w:jc w:val="both"/>
      </w:pPr>
      <w:r w:rsidRPr="00426A6F">
        <w:t>Lo</w:t>
      </w:r>
      <w:r w:rsidR="00267DA4" w:rsidRPr="00426A6F">
        <w:t xml:space="preserve">s órganos garantes </w:t>
      </w:r>
      <w:r w:rsidRPr="00426A6F">
        <w:t>son los que deben</w:t>
      </w:r>
      <w:r w:rsidR="00267DA4" w:rsidRPr="00426A6F">
        <w:t xml:space="preserve"> revisar la información reservada y resolver los recursos interpuestos por los ciudadanos inconformes sobre la clasificación de la información pública. A nivel federal existe el Instituto Federal de Acceso a la Información Pública y Protección de datos (IFAI)</w:t>
      </w:r>
      <w:r w:rsidRPr="00426A6F">
        <w:t>,</w:t>
      </w:r>
      <w:r w:rsidR="00267DA4" w:rsidRPr="00426A6F">
        <w:t xml:space="preserve"> y en Baja California el Instituto de Transparencia y Acceso a la Información Pública de Baja California (ITAIPBC). </w:t>
      </w:r>
      <w:r w:rsidRPr="00426A6F">
        <w:t xml:space="preserve">Mientras </w:t>
      </w:r>
      <w:r w:rsidR="00267DA4" w:rsidRPr="00426A6F">
        <w:t>mayor credibilidad tengan estos organismos</w:t>
      </w:r>
      <w:r w:rsidRPr="00426A6F">
        <w:t>,</w:t>
      </w:r>
      <w:r w:rsidR="00267DA4" w:rsidRPr="00426A6F">
        <w:t xml:space="preserve"> m</w:t>
      </w:r>
      <w:r w:rsidRPr="00426A6F">
        <w:t>ás</w:t>
      </w:r>
      <w:r w:rsidR="00267DA4" w:rsidRPr="00426A6F">
        <w:t xml:space="preserve"> será el uso de los sistemas de acceso de información y mayor </w:t>
      </w:r>
      <w:r w:rsidRPr="00426A6F">
        <w:t xml:space="preserve">será </w:t>
      </w:r>
      <w:r w:rsidR="00267DA4" w:rsidRPr="00426A6F">
        <w:t xml:space="preserve">la confianza de los usuarios hacia las solicitudes y sus respuestas. </w:t>
      </w:r>
    </w:p>
    <w:p w:rsidR="00267DA4" w:rsidRPr="00426A6F" w:rsidRDefault="00A425D1" w:rsidP="00426A6F">
      <w:pPr>
        <w:spacing w:line="360" w:lineRule="auto"/>
        <w:jc w:val="both"/>
      </w:pPr>
      <w:r w:rsidRPr="00426A6F">
        <w:t>N</w:t>
      </w:r>
      <w:r w:rsidR="00267DA4" w:rsidRPr="00426A6F">
        <w:t xml:space="preserve">uestra ley estatal no </w:t>
      </w:r>
      <w:r w:rsidRPr="00426A6F">
        <w:t>tiene</w:t>
      </w:r>
      <w:r w:rsidR="00267DA4" w:rsidRPr="00426A6F">
        <w:t xml:space="preserve"> una sanción expresa </w:t>
      </w:r>
      <w:r w:rsidRPr="00426A6F">
        <w:t xml:space="preserve">contra </w:t>
      </w:r>
      <w:r w:rsidR="00267DA4" w:rsidRPr="00426A6F">
        <w:t xml:space="preserve">las autoridades que reserven información </w:t>
      </w:r>
      <w:r w:rsidRPr="00426A6F">
        <w:t>y no cumplan</w:t>
      </w:r>
      <w:r w:rsidR="00267DA4" w:rsidRPr="00426A6F">
        <w:t xml:space="preserve"> con las características que </w:t>
      </w:r>
      <w:r w:rsidRPr="00426A6F">
        <w:t>las</w:t>
      </w:r>
      <w:r w:rsidR="00267DA4" w:rsidRPr="00426A6F">
        <w:t xml:space="preserve"> leyes señalan</w:t>
      </w:r>
      <w:r w:rsidRPr="00426A6F">
        <w:t>;</w:t>
      </w:r>
      <w:r w:rsidR="00267DA4" w:rsidRPr="00426A6F">
        <w:t xml:space="preserve"> la ley de transparencia </w:t>
      </w:r>
      <w:r w:rsidRPr="00426A6F">
        <w:t>solamente nos</w:t>
      </w:r>
      <w:r w:rsidR="00267DA4" w:rsidRPr="00426A6F">
        <w:t xml:space="preserve"> ref</w:t>
      </w:r>
      <w:r w:rsidRPr="00426A6F">
        <w:t>iere</w:t>
      </w:r>
      <w:r w:rsidR="00267DA4" w:rsidRPr="00426A6F">
        <w:t xml:space="preserve"> a la ley de responsabilidades</w:t>
      </w:r>
      <w:r w:rsidRPr="00426A6F">
        <w:t>,</w:t>
      </w:r>
      <w:r w:rsidR="00267DA4" w:rsidRPr="00426A6F">
        <w:t xml:space="preserve"> la cual tampoco establece una sanción específica para dicho acto. La ausencia de dicha sanción hace que las autoridades reserven muchos documentos sin cumplir con los requisitos constitucionales y legales, lo cual </w:t>
      </w:r>
      <w:r w:rsidRPr="00426A6F">
        <w:t>contribuye a</w:t>
      </w:r>
      <w:r w:rsidR="00267DA4" w:rsidRPr="00426A6F">
        <w:t xml:space="preserve"> la opacidad gubernamental y lesi</w:t>
      </w:r>
      <w:r w:rsidR="002F699C" w:rsidRPr="00426A6F">
        <w:t>ón de</w:t>
      </w:r>
      <w:r w:rsidR="00267DA4" w:rsidRPr="00426A6F">
        <w:t xml:space="preserve"> la transparencia.</w:t>
      </w:r>
    </w:p>
    <w:p w:rsidR="00267DA4" w:rsidRPr="00426A6F" w:rsidRDefault="00267DA4" w:rsidP="00426A6F">
      <w:pPr>
        <w:spacing w:line="360" w:lineRule="auto"/>
        <w:jc w:val="both"/>
      </w:pPr>
      <w:r w:rsidRPr="00426A6F">
        <w:lastRenderedPageBreak/>
        <w:t>Las autoridades estatales no cumplen con el mandato constitucional</w:t>
      </w:r>
      <w:r w:rsidR="00A425D1" w:rsidRPr="00426A6F">
        <w:t xml:space="preserve"> en cuanto a</w:t>
      </w:r>
      <w:r w:rsidRPr="00426A6F">
        <w:t xml:space="preserve"> los requisitos legales establecidos </w:t>
      </w:r>
      <w:r w:rsidR="00A425D1" w:rsidRPr="00426A6F">
        <w:t>por</w:t>
      </w:r>
      <w:r w:rsidRPr="00426A6F">
        <w:t xml:space="preserve"> las normas locales y federales de transparencia y el test de proporcionalidad que establece la doctrina y la corte en materia de límites de los </w:t>
      </w:r>
      <w:r w:rsidR="00A425D1" w:rsidRPr="00426A6F">
        <w:t>d</w:t>
      </w:r>
      <w:r w:rsidRPr="00426A6F">
        <w:t xml:space="preserve">erechos humanos al reservar documentos públicos. </w:t>
      </w:r>
    </w:p>
    <w:p w:rsidR="00267DA4" w:rsidRPr="00426A6F" w:rsidRDefault="00267DA4" w:rsidP="00426A6F">
      <w:pPr>
        <w:spacing w:line="360" w:lineRule="auto"/>
        <w:jc w:val="both"/>
      </w:pPr>
      <w:r w:rsidRPr="00426A6F">
        <w:t>En un</w:t>
      </w:r>
      <w:r w:rsidR="00A425D1" w:rsidRPr="00426A6F">
        <w:t>a</w:t>
      </w:r>
      <w:r w:rsidRPr="00426A6F">
        <w:t xml:space="preserve"> breve </w:t>
      </w:r>
      <w:r w:rsidR="00A425D1" w:rsidRPr="00426A6F">
        <w:t>investigación realizada</w:t>
      </w:r>
      <w:r w:rsidRPr="00426A6F">
        <w:t xml:space="preserve"> en el portal de transparencia del ITAIPBC</w:t>
      </w:r>
      <w:r w:rsidR="00A425D1" w:rsidRPr="00426A6F">
        <w:t>,</w:t>
      </w:r>
      <w:r w:rsidRPr="00426A6F">
        <w:t xml:space="preserve"> </w:t>
      </w:r>
      <w:r w:rsidR="00A425D1" w:rsidRPr="00426A6F">
        <w:t>se encontró</w:t>
      </w:r>
      <w:r w:rsidRPr="00426A6F">
        <w:t xml:space="preserve"> que más del 60</w:t>
      </w:r>
      <w:r w:rsidR="00A425D1" w:rsidRPr="00426A6F">
        <w:t xml:space="preserve"> </w:t>
      </w:r>
      <w:r w:rsidRPr="00426A6F">
        <w:t>% de los recursos que se interpusieron ante el mismo Instituto</w:t>
      </w:r>
      <w:r w:rsidR="00EF312E" w:rsidRPr="00426A6F">
        <w:t>,</w:t>
      </w:r>
      <w:r w:rsidRPr="00426A6F">
        <w:t xml:space="preserve"> de</w:t>
      </w:r>
      <w:r w:rsidR="00A425D1" w:rsidRPr="00426A6F">
        <w:t>sde</w:t>
      </w:r>
      <w:r w:rsidRPr="00426A6F">
        <w:t xml:space="preserve"> 2013 a la fecha</w:t>
      </w:r>
      <w:r w:rsidR="00EF312E" w:rsidRPr="00426A6F">
        <w:t>,</w:t>
      </w:r>
      <w:r w:rsidRPr="00426A6F">
        <w:t xml:space="preserve"> en contra de los sujetos obligados del Estado</w:t>
      </w:r>
      <w:r w:rsidR="00A425D1" w:rsidRPr="00426A6F">
        <w:t>,</w:t>
      </w:r>
      <w:r w:rsidRPr="00426A6F">
        <w:t xml:space="preserve"> se res</w:t>
      </w:r>
      <w:r w:rsidR="00A425D1" w:rsidRPr="00426A6F">
        <w:t>olvió</w:t>
      </w:r>
      <w:r w:rsidRPr="00426A6F">
        <w:t xml:space="preserve"> en contra de las autoridades</w:t>
      </w:r>
      <w:r w:rsidR="00A425D1" w:rsidRPr="00426A6F">
        <w:t xml:space="preserve">, a </w:t>
      </w:r>
      <w:r w:rsidR="00EF312E" w:rsidRPr="00426A6F">
        <w:t>quienes</w:t>
      </w:r>
      <w:r w:rsidR="00A425D1" w:rsidRPr="00426A6F">
        <w:t xml:space="preserve"> </w:t>
      </w:r>
      <w:r w:rsidRPr="00426A6F">
        <w:t>se orden</w:t>
      </w:r>
      <w:r w:rsidR="00EF312E" w:rsidRPr="00426A6F">
        <w:t xml:space="preserve">ó </w:t>
      </w:r>
      <w:r w:rsidRPr="00426A6F">
        <w:t xml:space="preserve">dar la información </w:t>
      </w:r>
      <w:r w:rsidR="00EF312E" w:rsidRPr="00426A6F">
        <w:t>sin</w:t>
      </w:r>
      <w:r w:rsidRPr="00426A6F">
        <w:t xml:space="preserve"> modificarla</w:t>
      </w:r>
      <w:r w:rsidR="00996465" w:rsidRPr="00426A6F">
        <w:t xml:space="preserve"> (Instituto de Transparencia y Acceso a la Información Pública, 2013)</w:t>
      </w:r>
      <w:r w:rsidRPr="00426A6F">
        <w:t>. En muchos casos</w:t>
      </w:r>
      <w:r w:rsidR="00EF312E" w:rsidRPr="00426A6F">
        <w:t>,</w:t>
      </w:r>
      <w:r w:rsidRPr="00426A6F">
        <w:t xml:space="preserve"> la autoridad clasificó como reservada </w:t>
      </w:r>
      <w:r w:rsidR="00EF312E" w:rsidRPr="00426A6F">
        <w:t xml:space="preserve">la </w:t>
      </w:r>
      <w:r w:rsidRPr="00426A6F">
        <w:t xml:space="preserve">información </w:t>
      </w:r>
      <w:r w:rsidR="00EF312E" w:rsidRPr="00426A6F">
        <w:t xml:space="preserve">de carácter </w:t>
      </w:r>
      <w:r w:rsidRPr="00426A6F">
        <w:t>públic</w:t>
      </w:r>
      <w:r w:rsidR="00EF312E" w:rsidRPr="00426A6F">
        <w:t>o</w:t>
      </w:r>
      <w:r w:rsidRPr="00426A6F">
        <w:t xml:space="preserve">. </w:t>
      </w:r>
    </w:p>
    <w:p w:rsidR="00267DA4" w:rsidRPr="00426A6F" w:rsidRDefault="00267DA4" w:rsidP="00426A6F">
      <w:pPr>
        <w:spacing w:line="360" w:lineRule="auto"/>
        <w:jc w:val="both"/>
      </w:pPr>
      <w:r w:rsidRPr="00426A6F">
        <w:t xml:space="preserve">El mismo artículo 6º </w:t>
      </w:r>
      <w:r w:rsidR="005C350E" w:rsidRPr="00426A6F">
        <w:t>c</w:t>
      </w:r>
      <w:r w:rsidRPr="00426A6F">
        <w:t>onstitucional establece que en nuestro país debe imperar el principio de máxima publicidad, el cual dicta que en caso de duda si la información debe entregarse o no, la autoridad debe optar por la primera opción. Esto no parece ser el caso en Baja California debido a la gran cantidad de recursos (184 en 2014)</w:t>
      </w:r>
      <w:r w:rsidR="00996465" w:rsidRPr="00426A6F">
        <w:t xml:space="preserve"> (ITAIP, 2014) </w:t>
      </w:r>
      <w:r w:rsidRPr="00426A6F">
        <w:t xml:space="preserve">interpuestos ante el Instituto. </w:t>
      </w:r>
    </w:p>
    <w:p w:rsidR="00267DA4" w:rsidRPr="00426A6F" w:rsidRDefault="00267DA4" w:rsidP="00426A6F">
      <w:pPr>
        <w:spacing w:line="360" w:lineRule="auto"/>
        <w:jc w:val="both"/>
      </w:pPr>
      <w:r w:rsidRPr="00426A6F">
        <w:t>Existe falta de confianza por parte de los habitantes del estado de Baja California en solicitar información a las autoridades, eso se puede manifestar por las demandas interpuestas por parte de la sociedad civil organizada</w:t>
      </w:r>
      <w:r w:rsidR="005C350E" w:rsidRPr="00426A6F">
        <w:t>,</w:t>
      </w:r>
      <w:r w:rsidRPr="00426A6F">
        <w:t xml:space="preserve"> como es el caso de OBSERBC A.C.</w:t>
      </w:r>
      <w:r w:rsidR="00EF312E" w:rsidRPr="00426A6F">
        <w:t>, entre</w:t>
      </w:r>
      <w:r w:rsidRPr="00426A6F">
        <w:t xml:space="preserve"> otras. </w:t>
      </w:r>
    </w:p>
    <w:p w:rsidR="00267DA4" w:rsidRPr="00426A6F" w:rsidRDefault="00267DA4" w:rsidP="00426A6F">
      <w:pPr>
        <w:spacing w:line="360" w:lineRule="auto"/>
        <w:jc w:val="both"/>
      </w:pPr>
      <w:r w:rsidRPr="00426A6F">
        <w:t xml:space="preserve">Otro punto importante es la demora con la </w:t>
      </w:r>
      <w:r w:rsidR="007D5164" w:rsidRPr="00426A6F">
        <w:t>que</w:t>
      </w:r>
      <w:r w:rsidRPr="00426A6F">
        <w:t xml:space="preserve"> la autoridad cataloga la información y responde a las solicitudes</w:t>
      </w:r>
      <w:r w:rsidR="007D5164" w:rsidRPr="00426A6F">
        <w:t>;</w:t>
      </w:r>
      <w:r w:rsidRPr="00426A6F">
        <w:t xml:space="preserve"> en algunos casos la autoridad estatal no cataloga la información hasta que le llega la solicitud, en otros casos toma el tiempo máximo (diez días hábiles) para informar que los documentos se consideran reservados. </w:t>
      </w:r>
    </w:p>
    <w:p w:rsidR="00267DA4" w:rsidRPr="00426A6F" w:rsidRDefault="00267DA4" w:rsidP="00426A6F">
      <w:pPr>
        <w:spacing w:line="360" w:lineRule="auto"/>
        <w:jc w:val="both"/>
      </w:pPr>
      <w:r w:rsidRPr="00426A6F">
        <w:t xml:space="preserve">En la página del gobierno del Estado y algunos otros sujetos obligados podemos encontrar los catálogos de información pública reservada. En el caso del ejecutivo estatal existen páginas completas de información que se considera reservada, en otras autoridades no encontramos estos catálogos por lo que no podemos saber exactamente cuántos documentos están reservados, lo cual </w:t>
      </w:r>
      <w:r w:rsidR="007D5164" w:rsidRPr="00426A6F">
        <w:t>disminuye la c</w:t>
      </w:r>
      <w:r w:rsidRPr="00426A6F">
        <w:t xml:space="preserve">onfianza y </w:t>
      </w:r>
      <w:r w:rsidR="007D5164" w:rsidRPr="00426A6F">
        <w:t xml:space="preserve">la </w:t>
      </w:r>
      <w:r w:rsidRPr="00426A6F">
        <w:t xml:space="preserve">transparencia. </w:t>
      </w:r>
    </w:p>
    <w:p w:rsidR="00267DA4" w:rsidRPr="00426A6F" w:rsidRDefault="00267DA4" w:rsidP="00426A6F">
      <w:pPr>
        <w:spacing w:line="360" w:lineRule="auto"/>
        <w:jc w:val="both"/>
      </w:pPr>
      <w:r w:rsidRPr="00426A6F">
        <w:t xml:space="preserve">Otro síntoma de la falta de transparencia y el exceso de opacidad es la facilidad con que la autoridad estatal reserva la información. En muchos casos no </w:t>
      </w:r>
      <w:r w:rsidR="005C350E" w:rsidRPr="00426A6F">
        <w:t>está</w:t>
      </w:r>
      <w:r w:rsidRPr="00426A6F">
        <w:t xml:space="preserve"> fundamenta</w:t>
      </w:r>
      <w:r w:rsidR="005C350E" w:rsidRPr="00426A6F">
        <w:t>da</w:t>
      </w:r>
      <w:r w:rsidRPr="00426A6F">
        <w:t xml:space="preserve"> la reserva de la información, en otros se reserva información que clara</w:t>
      </w:r>
      <w:r w:rsidR="005C350E" w:rsidRPr="00426A6F">
        <w:t>mente</w:t>
      </w:r>
      <w:r w:rsidRPr="00426A6F">
        <w:t xml:space="preserve"> no deb</w:t>
      </w:r>
      <w:r w:rsidR="0073496C" w:rsidRPr="00426A6F">
        <w:t>ería</w:t>
      </w:r>
      <w:r w:rsidRPr="00426A6F">
        <w:t xml:space="preserve"> </w:t>
      </w:r>
      <w:r w:rsidR="005C350E" w:rsidRPr="00426A6F">
        <w:t>estar clasificada así, y además</w:t>
      </w:r>
      <w:r w:rsidRPr="00426A6F">
        <w:t xml:space="preserve"> el proceso de desclasificación (recurso) es muy </w:t>
      </w:r>
      <w:r w:rsidR="0073496C" w:rsidRPr="00426A6F">
        <w:t>lento</w:t>
      </w:r>
      <w:r w:rsidRPr="00426A6F">
        <w:t xml:space="preserve"> </w:t>
      </w:r>
      <w:r w:rsidR="005C350E" w:rsidRPr="00426A6F">
        <w:t>pues</w:t>
      </w:r>
      <w:r w:rsidRPr="00426A6F">
        <w:t xml:space="preserve"> puede durar hasta </w:t>
      </w:r>
      <w:r w:rsidR="0073496C" w:rsidRPr="00426A6F">
        <w:t>doce</w:t>
      </w:r>
      <w:r w:rsidRPr="00426A6F">
        <w:t xml:space="preserve"> meses o más.</w:t>
      </w:r>
    </w:p>
    <w:p w:rsidR="00267DA4" w:rsidRPr="00426A6F" w:rsidRDefault="00267DA4" w:rsidP="00426A6F">
      <w:pPr>
        <w:spacing w:line="360" w:lineRule="auto"/>
        <w:jc w:val="both"/>
        <w:rPr>
          <w:rFonts w:eastAsia="Calibri"/>
          <w:lang w:eastAsia="en-US"/>
        </w:rPr>
      </w:pPr>
      <w:r w:rsidRPr="00426A6F">
        <w:rPr>
          <w:rFonts w:eastAsia="Calibri"/>
          <w:lang w:eastAsia="en-US"/>
        </w:rPr>
        <w:lastRenderedPageBreak/>
        <w:t>Baja California promulgó su segunda Ley de Transparencia en 2010, la cual abrogó la de 2005</w:t>
      </w:r>
      <w:r w:rsidR="00BE5C0C" w:rsidRPr="00426A6F">
        <w:rPr>
          <w:rFonts w:eastAsia="Calibri"/>
          <w:lang w:eastAsia="en-US"/>
        </w:rPr>
        <w:t>,</w:t>
      </w:r>
      <w:r w:rsidRPr="00426A6F">
        <w:rPr>
          <w:rFonts w:eastAsia="Calibri"/>
          <w:lang w:eastAsia="en-US"/>
        </w:rPr>
        <w:t xml:space="preserve"> </w:t>
      </w:r>
      <w:r w:rsidR="001F57A8" w:rsidRPr="00426A6F">
        <w:rPr>
          <w:rFonts w:eastAsia="Calibri"/>
          <w:lang w:eastAsia="en-US"/>
        </w:rPr>
        <w:t xml:space="preserve">por </w:t>
      </w:r>
      <w:r w:rsidR="00BE5C0C" w:rsidRPr="00426A6F">
        <w:rPr>
          <w:rFonts w:eastAsia="Calibri"/>
          <w:lang w:eastAsia="en-US"/>
        </w:rPr>
        <w:t>lo que se</w:t>
      </w:r>
      <w:r w:rsidRPr="00426A6F">
        <w:rPr>
          <w:rFonts w:eastAsia="Calibri"/>
          <w:lang w:eastAsia="en-US"/>
        </w:rPr>
        <w:t xml:space="preserve"> cre</w:t>
      </w:r>
      <w:r w:rsidR="001F57A8" w:rsidRPr="00426A6F">
        <w:rPr>
          <w:rFonts w:eastAsia="Calibri"/>
          <w:lang w:eastAsia="en-US"/>
        </w:rPr>
        <w:t>ó</w:t>
      </w:r>
      <w:r w:rsidRPr="00426A6F">
        <w:rPr>
          <w:rFonts w:eastAsia="Calibri"/>
          <w:lang w:eastAsia="en-US"/>
        </w:rPr>
        <w:t xml:space="preserve"> el Instituto de Transparencia y Acceso a la Información Pública</w:t>
      </w:r>
      <w:r w:rsidR="001F57A8" w:rsidRPr="00426A6F">
        <w:rPr>
          <w:rFonts w:eastAsia="Calibri"/>
          <w:lang w:eastAsia="en-US"/>
        </w:rPr>
        <w:t>, un</w:t>
      </w:r>
      <w:r w:rsidRPr="00426A6F">
        <w:rPr>
          <w:rFonts w:eastAsia="Calibri"/>
          <w:lang w:eastAsia="en-US"/>
        </w:rPr>
        <w:t xml:space="preserve"> órgano garante constitucional autónomo. Vale la pena recalcar que nuestro estado fue el último </w:t>
      </w:r>
      <w:r w:rsidR="00BE5C0C" w:rsidRPr="00426A6F">
        <w:rPr>
          <w:rFonts w:eastAsia="Calibri"/>
          <w:lang w:eastAsia="en-US"/>
        </w:rPr>
        <w:t>del</w:t>
      </w:r>
      <w:r w:rsidRPr="00426A6F">
        <w:rPr>
          <w:rFonts w:eastAsia="Calibri"/>
          <w:lang w:eastAsia="en-US"/>
        </w:rPr>
        <w:t xml:space="preserve"> país en tener dicho organismo. </w:t>
      </w:r>
    </w:p>
    <w:p w:rsidR="009C5255" w:rsidRPr="00426A6F" w:rsidRDefault="00267DA4" w:rsidP="00426A6F">
      <w:pPr>
        <w:spacing w:line="360" w:lineRule="auto"/>
        <w:jc w:val="both"/>
      </w:pPr>
      <w:r w:rsidRPr="00426A6F">
        <w:t xml:space="preserve">De todo lo anterior podemos concluir que: organismos garantes con mayor credibilidad, sanciones a los servidores públicos que no cumplan </w:t>
      </w:r>
      <w:r w:rsidR="00F3344F" w:rsidRPr="00426A6F">
        <w:t>con</w:t>
      </w:r>
      <w:r w:rsidRPr="00426A6F">
        <w:t xml:space="preserve"> la ley de transparencia, restricciones a reservar y ocultar información</w:t>
      </w:r>
      <w:r w:rsidR="00F3344F" w:rsidRPr="00426A6F">
        <w:t>,</w:t>
      </w:r>
      <w:r w:rsidRPr="00426A6F">
        <w:t xml:space="preserve"> ayudan al ejercicio del derecho de acceso a la información, que a su vez ayuda a tener mayor transparencia y confianza en nuestras instituciones, lo que </w:t>
      </w:r>
      <w:r w:rsidR="00F3344F" w:rsidRPr="00426A6F">
        <w:t>fortalece la</w:t>
      </w:r>
      <w:r w:rsidRPr="00426A6F">
        <w:t xml:space="preserve"> competitividad en nuestro estado. </w:t>
      </w:r>
    </w:p>
    <w:p w:rsidR="002B5A5B" w:rsidRPr="00426A6F" w:rsidRDefault="008C68D0" w:rsidP="00426A6F">
      <w:pPr>
        <w:spacing w:line="360" w:lineRule="auto"/>
        <w:jc w:val="both"/>
      </w:pPr>
      <w:r w:rsidRPr="00426A6F">
        <w:t xml:space="preserve">La sentencia de Claude Reyes es importante porque crea un precedente internacional sobre la importancia del Derecho de Acceso a la Información y el interés general de difundir los documentos públicos. </w:t>
      </w:r>
      <w:bookmarkStart w:id="2" w:name="_Toc451977325"/>
    </w:p>
    <w:p w:rsidR="00996465" w:rsidRPr="00426A6F" w:rsidRDefault="00996465" w:rsidP="00426A6F">
      <w:pPr>
        <w:spacing w:line="360" w:lineRule="auto"/>
        <w:jc w:val="both"/>
      </w:pPr>
    </w:p>
    <w:p w:rsidR="002B5A5B" w:rsidRPr="00426A6F" w:rsidRDefault="002B5A5B" w:rsidP="00426A6F">
      <w:pPr>
        <w:spacing w:line="360" w:lineRule="auto"/>
        <w:jc w:val="both"/>
        <w:rPr>
          <w:b/>
          <w:color w:val="222222"/>
          <w:lang w:val="es-MX" w:eastAsia="es-MX"/>
        </w:rPr>
      </w:pPr>
      <w:r w:rsidRPr="00426A6F">
        <w:rPr>
          <w:b/>
          <w:color w:val="222222"/>
          <w:lang w:val="es-MX" w:eastAsia="es-MX"/>
        </w:rPr>
        <w:t>DISCUSIÓN</w:t>
      </w:r>
    </w:p>
    <w:p w:rsidR="00996465" w:rsidRPr="00426A6F" w:rsidRDefault="00996465" w:rsidP="00426A6F">
      <w:pPr>
        <w:spacing w:line="360" w:lineRule="auto"/>
        <w:jc w:val="both"/>
        <w:rPr>
          <w:b/>
        </w:rPr>
      </w:pPr>
    </w:p>
    <w:p w:rsidR="00F31057" w:rsidRPr="00426A6F" w:rsidRDefault="00F31057" w:rsidP="00426A6F">
      <w:pPr>
        <w:spacing w:line="360" w:lineRule="auto"/>
        <w:jc w:val="both"/>
      </w:pPr>
      <w:r w:rsidRPr="00426A6F">
        <w:t xml:space="preserve">El </w:t>
      </w:r>
      <w:r w:rsidR="00CA4DFA" w:rsidRPr="00426A6F">
        <w:t>d</w:t>
      </w:r>
      <w:r w:rsidR="006B1EFD" w:rsidRPr="00426A6F">
        <w:t>erecho al acceso a la información pública</w:t>
      </w:r>
      <w:r w:rsidRPr="00426A6F">
        <w:t xml:space="preserve"> en </w:t>
      </w:r>
      <w:r w:rsidR="006B1EFD" w:rsidRPr="00426A6F">
        <w:t>el</w:t>
      </w:r>
      <w:r w:rsidRPr="00426A6F">
        <w:t xml:space="preserve"> sistema jurídico</w:t>
      </w:r>
      <w:bookmarkEnd w:id="2"/>
      <w:r w:rsidR="006B1EFD" w:rsidRPr="00426A6F">
        <w:t xml:space="preserve"> mexicano</w:t>
      </w:r>
      <w:r w:rsidR="002B5A5B" w:rsidRPr="00426A6F">
        <w:t xml:space="preserve"> </w:t>
      </w:r>
      <w:r w:rsidR="006B1EFD" w:rsidRPr="00426A6F">
        <w:t xml:space="preserve">se basa en </w:t>
      </w:r>
      <w:r w:rsidR="002B5A5B" w:rsidRPr="00426A6F">
        <w:t>e</w:t>
      </w:r>
      <w:r w:rsidRPr="00426A6F">
        <w:t>l artículo 6º de la Constitución Política de los Estados Unidos Mexicanos</w:t>
      </w:r>
      <w:r w:rsidR="006B1EFD" w:rsidRPr="00426A6F">
        <w:t>,</w:t>
      </w:r>
      <w:r w:rsidRPr="00426A6F">
        <w:t xml:space="preserve"> </w:t>
      </w:r>
      <w:r w:rsidR="00CA4DFA" w:rsidRPr="00426A6F">
        <w:t>cuyo</w:t>
      </w:r>
      <w:r w:rsidRPr="00426A6F">
        <w:t xml:space="preserve"> segundo párrafo establece que</w:t>
      </w:r>
      <w:r w:rsidR="006B1EFD" w:rsidRPr="00426A6F">
        <w:t>:</w:t>
      </w:r>
      <w:r w:rsidRPr="00426A6F">
        <w:t xml:space="preserve"> “</w:t>
      </w:r>
      <w:r w:rsidR="00C44058" w:rsidRPr="00426A6F">
        <w:t>T</w:t>
      </w:r>
      <w:r w:rsidRPr="00426A6F">
        <w:t>oda persona tiene derecho al libre acceso a información pública y oportuna, así como a buscar, recibir y difundir información e ideas de toda índole po</w:t>
      </w:r>
      <w:r w:rsidR="0082185F" w:rsidRPr="00426A6F">
        <w:t>r cualquier medio de expresión”</w:t>
      </w:r>
      <w:r w:rsidR="00996465" w:rsidRPr="00426A6F">
        <w:t xml:space="preserve"> (1917).</w:t>
      </w:r>
    </w:p>
    <w:p w:rsidR="00F31057" w:rsidRPr="00426A6F" w:rsidRDefault="00F31057" w:rsidP="00426A6F">
      <w:pPr>
        <w:spacing w:line="360" w:lineRule="auto"/>
        <w:jc w:val="both"/>
        <w:rPr>
          <w:color w:val="000000"/>
        </w:rPr>
      </w:pPr>
      <w:r w:rsidRPr="00426A6F">
        <w:t>Más adelante</w:t>
      </w:r>
      <w:r w:rsidR="00C44058" w:rsidRPr="00426A6F">
        <w:t>,</w:t>
      </w:r>
      <w:r w:rsidRPr="00426A6F">
        <w:t xml:space="preserve"> </w:t>
      </w:r>
      <w:r w:rsidR="006B1EFD" w:rsidRPr="00426A6F">
        <w:t>el mismo artículo indica</w:t>
      </w:r>
      <w:r w:rsidRPr="00426A6F">
        <w:t xml:space="preserve"> que: “</w:t>
      </w:r>
      <w:r w:rsidRPr="00426A6F">
        <w:rPr>
          <w:color w:val="00000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00CE1CE0" w:rsidRPr="00426A6F">
        <w:rPr>
          <w:color w:val="000000"/>
        </w:rPr>
        <w:t xml:space="preserve"> </w:t>
      </w:r>
      <w:r w:rsidR="00996465" w:rsidRPr="00426A6F">
        <w:rPr>
          <w:color w:val="000000"/>
        </w:rPr>
        <w:t>(1917).</w:t>
      </w:r>
    </w:p>
    <w:p w:rsidR="00F31057" w:rsidRPr="00426A6F" w:rsidRDefault="00F31057" w:rsidP="00426A6F">
      <w:pPr>
        <w:spacing w:line="360" w:lineRule="auto"/>
        <w:jc w:val="both"/>
        <w:rPr>
          <w:color w:val="000000"/>
        </w:rPr>
      </w:pPr>
      <w:r w:rsidRPr="00426A6F">
        <w:rPr>
          <w:color w:val="000000"/>
        </w:rPr>
        <w:t>Toda la información es pública</w:t>
      </w:r>
      <w:r w:rsidR="006B1EFD" w:rsidRPr="00426A6F">
        <w:rPr>
          <w:color w:val="000000"/>
        </w:rPr>
        <w:t>,</w:t>
      </w:r>
      <w:r w:rsidRPr="00426A6F">
        <w:rPr>
          <w:color w:val="000000"/>
        </w:rPr>
        <w:t xml:space="preserve"> sin embargo</w:t>
      </w:r>
      <w:r w:rsidR="006B1EFD" w:rsidRPr="00426A6F">
        <w:rPr>
          <w:color w:val="000000"/>
        </w:rPr>
        <w:t>,</w:t>
      </w:r>
      <w:r w:rsidRPr="00426A6F">
        <w:rPr>
          <w:color w:val="000000"/>
        </w:rPr>
        <w:t xml:space="preserve"> podrá reservarse su acceso temporalmente por razones de interés social y seguridad nacional</w:t>
      </w:r>
      <w:r w:rsidR="006B1EFD" w:rsidRPr="00426A6F">
        <w:rPr>
          <w:color w:val="000000"/>
        </w:rPr>
        <w:t>,</w:t>
      </w:r>
      <w:r w:rsidRPr="00426A6F">
        <w:rPr>
          <w:color w:val="000000"/>
        </w:rPr>
        <w:t xml:space="preserve"> como lo establece el propio artículo sexto y las leyes. Cuan</w:t>
      </w:r>
      <w:r w:rsidR="006B1EFD" w:rsidRPr="00426A6F">
        <w:rPr>
          <w:color w:val="000000"/>
        </w:rPr>
        <w:t>do se interprete el Derecho de acceso a la información</w:t>
      </w:r>
      <w:r w:rsidR="00CA4DFA" w:rsidRPr="00426A6F">
        <w:rPr>
          <w:color w:val="000000"/>
        </w:rPr>
        <w:t>,</w:t>
      </w:r>
      <w:r w:rsidR="006B1EFD" w:rsidRPr="00426A6F">
        <w:rPr>
          <w:color w:val="000000"/>
        </w:rPr>
        <w:t xml:space="preserve"> la C</w:t>
      </w:r>
      <w:r w:rsidRPr="00426A6F">
        <w:rPr>
          <w:color w:val="000000"/>
        </w:rPr>
        <w:t>onstitución establece que debe prevalecer el</w:t>
      </w:r>
      <w:r w:rsidR="0082185F" w:rsidRPr="00426A6F">
        <w:rPr>
          <w:color w:val="000000"/>
        </w:rPr>
        <w:t xml:space="preserve"> principio de máxima publicidad</w:t>
      </w:r>
      <w:r w:rsidR="00996465" w:rsidRPr="00426A6F">
        <w:rPr>
          <w:color w:val="000000"/>
        </w:rPr>
        <w:t xml:space="preserve"> (1917). </w:t>
      </w:r>
    </w:p>
    <w:p w:rsidR="00F31057" w:rsidRPr="00426A6F" w:rsidRDefault="006B1EFD" w:rsidP="00426A6F">
      <w:pPr>
        <w:spacing w:line="360" w:lineRule="auto"/>
        <w:jc w:val="both"/>
        <w:rPr>
          <w:color w:val="000000"/>
          <w:lang w:val="es-MX"/>
        </w:rPr>
      </w:pPr>
      <w:r w:rsidRPr="00426A6F">
        <w:rPr>
          <w:color w:val="000000"/>
        </w:rPr>
        <w:t xml:space="preserve">Por lo </w:t>
      </w:r>
      <w:r w:rsidR="00CA4DFA" w:rsidRPr="00426A6F">
        <w:rPr>
          <w:color w:val="000000"/>
        </w:rPr>
        <w:t>tanto,</w:t>
      </w:r>
      <w:r w:rsidRPr="00426A6F">
        <w:rPr>
          <w:color w:val="000000"/>
        </w:rPr>
        <w:t xml:space="preserve"> e</w:t>
      </w:r>
      <w:r w:rsidR="00F31057" w:rsidRPr="00426A6F">
        <w:rPr>
          <w:color w:val="000000"/>
        </w:rPr>
        <w:t>s importante señalar</w:t>
      </w:r>
      <w:r w:rsidRPr="00426A6F">
        <w:rPr>
          <w:color w:val="000000"/>
        </w:rPr>
        <w:t xml:space="preserve"> que la C</w:t>
      </w:r>
      <w:r w:rsidR="00F31057" w:rsidRPr="00426A6F">
        <w:rPr>
          <w:color w:val="000000"/>
        </w:rPr>
        <w:t xml:space="preserve">onstitución </w:t>
      </w:r>
      <w:r w:rsidRPr="00426A6F">
        <w:rPr>
          <w:color w:val="000000"/>
        </w:rPr>
        <w:t>imprime</w:t>
      </w:r>
      <w:r w:rsidR="00F31057" w:rsidRPr="00426A6F">
        <w:rPr>
          <w:color w:val="000000"/>
        </w:rPr>
        <w:t xml:space="preserve"> que: </w:t>
      </w:r>
      <w:r w:rsidR="00F31057" w:rsidRPr="00426A6F">
        <w:rPr>
          <w:color w:val="000000"/>
          <w:lang w:val="es-MX"/>
        </w:rPr>
        <w:t>“</w:t>
      </w:r>
      <w:r w:rsidR="00F31057" w:rsidRPr="00426A6F">
        <w:rPr>
          <w:bCs/>
          <w:color w:val="000000"/>
          <w:lang w:val="es-MX"/>
        </w:rPr>
        <w:t>Los</w:t>
      </w:r>
      <w:r w:rsidR="00F31057" w:rsidRPr="00426A6F">
        <w:rPr>
          <w:color w:val="000000"/>
          <w:lang w:val="es-MX"/>
        </w:rPr>
        <w:t xml:space="preserve"> sujetos obligados deberán documentar todo acto que derive del ejercicio de sus facultades, competencias o </w:t>
      </w:r>
      <w:r w:rsidR="00F31057" w:rsidRPr="00426A6F">
        <w:rPr>
          <w:color w:val="000000"/>
          <w:lang w:val="es-MX"/>
        </w:rPr>
        <w:lastRenderedPageBreak/>
        <w:t>funciones, la ley determinará los supuestos específicos bajo los cuales procederá la declaración de</w:t>
      </w:r>
      <w:r w:rsidR="0082185F" w:rsidRPr="00426A6F">
        <w:rPr>
          <w:color w:val="000000"/>
          <w:lang w:val="es-MX"/>
        </w:rPr>
        <w:t xml:space="preserve"> inexistencia de la información</w:t>
      </w:r>
      <w:r w:rsidR="00F31057" w:rsidRPr="00426A6F">
        <w:rPr>
          <w:color w:val="000000"/>
          <w:lang w:val="es-MX"/>
        </w:rPr>
        <w:t>”</w:t>
      </w:r>
      <w:r w:rsidR="00996465" w:rsidRPr="00426A6F">
        <w:rPr>
          <w:color w:val="000000"/>
          <w:lang w:val="es-MX"/>
        </w:rPr>
        <w:t xml:space="preserve"> (1917).</w:t>
      </w:r>
    </w:p>
    <w:p w:rsidR="00F31057" w:rsidRPr="00426A6F" w:rsidRDefault="006B1EFD" w:rsidP="00426A6F">
      <w:pPr>
        <w:spacing w:line="360" w:lineRule="auto"/>
        <w:jc w:val="both"/>
      </w:pPr>
      <w:r w:rsidRPr="00426A6F">
        <w:rPr>
          <w:color w:val="000000"/>
          <w:lang w:val="es-MX"/>
        </w:rPr>
        <w:t xml:space="preserve">Si </w:t>
      </w:r>
      <w:r w:rsidR="00CA4DFA" w:rsidRPr="00426A6F">
        <w:rPr>
          <w:color w:val="000000"/>
          <w:lang w:val="es-MX"/>
        </w:rPr>
        <w:t>se consulta</w:t>
      </w:r>
      <w:r w:rsidRPr="00426A6F">
        <w:rPr>
          <w:color w:val="000000"/>
          <w:lang w:val="es-MX"/>
        </w:rPr>
        <w:t xml:space="preserve"> la</w:t>
      </w:r>
      <w:r w:rsidR="00F31057" w:rsidRPr="00426A6F">
        <w:rPr>
          <w:color w:val="000000"/>
          <w:lang w:val="es-MX"/>
        </w:rPr>
        <w:t xml:space="preserve"> Constitución local</w:t>
      </w:r>
      <w:r w:rsidRPr="00426A6F">
        <w:rPr>
          <w:color w:val="000000"/>
          <w:lang w:val="es-MX"/>
        </w:rPr>
        <w:t xml:space="preserve">, es decir, del Estado Libre y Soberano de Baja California, encontramos </w:t>
      </w:r>
      <w:r w:rsidR="00CA4DFA" w:rsidRPr="00426A6F">
        <w:rPr>
          <w:color w:val="000000"/>
          <w:lang w:val="es-MX"/>
        </w:rPr>
        <w:t>que</w:t>
      </w:r>
      <w:r w:rsidRPr="00426A6F">
        <w:rPr>
          <w:color w:val="000000"/>
          <w:lang w:val="es-MX"/>
        </w:rPr>
        <w:t xml:space="preserve"> el</w:t>
      </w:r>
      <w:r w:rsidR="00F31057" w:rsidRPr="00426A6F">
        <w:rPr>
          <w:color w:val="000000"/>
          <w:lang w:val="es-MX"/>
        </w:rPr>
        <w:t xml:space="preserve"> artículo 7º apartado C </w:t>
      </w:r>
      <w:r w:rsidR="00C44058" w:rsidRPr="00426A6F">
        <w:rPr>
          <w:color w:val="000000"/>
          <w:lang w:val="es-MX"/>
        </w:rPr>
        <w:t xml:space="preserve">señala </w:t>
      </w:r>
      <w:r w:rsidR="00CA4DFA" w:rsidRPr="00426A6F">
        <w:rPr>
          <w:color w:val="000000"/>
          <w:lang w:val="es-MX"/>
        </w:rPr>
        <w:t>lo siguiente</w:t>
      </w:r>
      <w:r w:rsidR="00F31057" w:rsidRPr="00426A6F">
        <w:rPr>
          <w:color w:val="000000"/>
          <w:lang w:val="es-MX"/>
        </w:rPr>
        <w:t xml:space="preserve">: </w:t>
      </w:r>
      <w:r w:rsidR="00F31057" w:rsidRPr="00426A6F">
        <w:t xml:space="preserve">“Toda persona sin necesidad de acreditar interés alguno, tiene derecho a acceder a la información que la ley </w:t>
      </w:r>
      <w:r w:rsidR="00CA4DFA" w:rsidRPr="00426A6F">
        <w:t>clasifica como</w:t>
      </w:r>
      <w:r w:rsidR="00F31057" w:rsidRPr="00426A6F">
        <w:t xml:space="preserve"> pública, a sus datos personales, o a la rectificación de </w:t>
      </w:r>
      <w:r w:rsidR="00CA4DFA" w:rsidRPr="00426A6F">
        <w:t>e</w:t>
      </w:r>
      <w:r w:rsidR="00F31057" w:rsidRPr="00426A6F">
        <w:t>stos. La Ley de la materia deberá observar, entre otros, los principios de protección a los datos personales, máxima publicidad y gratuidad; asimismo, deberá establecer los mecanismos de acceso a la información pública, de protección de los datos personales, así como los procedimientos de revisión, y señalar aquella que tenga el caráct</w:t>
      </w:r>
      <w:r w:rsidR="00D50245" w:rsidRPr="00426A6F">
        <w:t>er de reservada o confidencial”</w:t>
      </w:r>
      <w:r w:rsidR="00996465" w:rsidRPr="00426A6F">
        <w:t xml:space="preserve"> (Constitución Política del Estado Libre y Soberano de Baja California, 1953)</w:t>
      </w:r>
      <w:r w:rsidR="00CE1CE0" w:rsidRPr="00426A6F">
        <w:t>.</w:t>
      </w:r>
    </w:p>
    <w:p w:rsidR="00F31057" w:rsidRPr="00426A6F" w:rsidRDefault="00F31057" w:rsidP="00426A6F">
      <w:pPr>
        <w:spacing w:line="360" w:lineRule="auto"/>
        <w:jc w:val="both"/>
      </w:pPr>
      <w:r w:rsidRPr="00426A6F">
        <w:t>En cuanto a la definición de inform</w:t>
      </w:r>
      <w:r w:rsidR="00D50245" w:rsidRPr="00426A6F">
        <w:t>ación pública en el Estado,</w:t>
      </w:r>
      <w:r w:rsidRPr="00426A6F">
        <w:t xml:space="preserve"> es necesario remitirnos a la Ley de Transparencia y Acceso a la Información Pública para el Estado de Baja California</w:t>
      </w:r>
      <w:r w:rsidR="004A54AE" w:rsidRPr="00426A6F">
        <w:t>, cuyo</w:t>
      </w:r>
      <w:r w:rsidRPr="00426A6F">
        <w:t xml:space="preserve"> artículo 3º </w:t>
      </w:r>
      <w:r w:rsidR="004A54AE" w:rsidRPr="00426A6F">
        <w:t>señala</w:t>
      </w:r>
      <w:r w:rsidRPr="00426A6F">
        <w:t xml:space="preserve"> que: “La información generada, administrada o en posesión de los sujetos obligados, se considera un bien de dominio público, por lo que cualquier persona tendrá acceso a la misma en los términos y con las excepciones que esta Ley señala. Su reglamento no podrá establecer más excepciones que las previstas en este ordenamiento”</w:t>
      </w:r>
      <w:r w:rsidR="00996465" w:rsidRPr="00426A6F">
        <w:t xml:space="preserve"> (Ley de Transparencia y Acceso a la Información Pública de Baja California, 2010)</w:t>
      </w:r>
      <w:r w:rsidR="00D50245" w:rsidRPr="00426A6F">
        <w:t>.</w:t>
      </w:r>
    </w:p>
    <w:p w:rsidR="00F31057" w:rsidRPr="00426A6F" w:rsidRDefault="00F31057" w:rsidP="00426A6F">
      <w:pPr>
        <w:spacing w:line="360" w:lineRule="auto"/>
        <w:jc w:val="both"/>
      </w:pPr>
      <w:r w:rsidRPr="00426A6F">
        <w:t>En el ámbito internacional</w:t>
      </w:r>
      <w:r w:rsidR="00D50245" w:rsidRPr="00426A6F">
        <w:t>,</w:t>
      </w:r>
      <w:r w:rsidRPr="00426A6F">
        <w:t xml:space="preserve"> el Derecho de Acc</w:t>
      </w:r>
      <w:r w:rsidR="00D50245" w:rsidRPr="00426A6F">
        <w:t>eso a la Información</w:t>
      </w:r>
      <w:r w:rsidR="0071649A" w:rsidRPr="00426A6F">
        <w:t xml:space="preserve"> </w:t>
      </w:r>
      <w:r w:rsidR="00D50245" w:rsidRPr="00426A6F">
        <w:t xml:space="preserve">se </w:t>
      </w:r>
      <w:r w:rsidRPr="00426A6F">
        <w:t>enc</w:t>
      </w:r>
      <w:r w:rsidR="00D50245" w:rsidRPr="00426A6F">
        <w:t>uentra</w:t>
      </w:r>
      <w:r w:rsidRPr="00426A6F">
        <w:t xml:space="preserve"> de la mano de la libertad de expresión. En la Declaración Universal de Derechos Humanos</w:t>
      </w:r>
      <w:r w:rsidR="00D50245" w:rsidRPr="00426A6F">
        <w:t>, en el artículo 19</w:t>
      </w:r>
      <w:r w:rsidR="001932AF" w:rsidRPr="00426A6F">
        <w:t>,</w:t>
      </w:r>
      <w:r w:rsidR="00D50245" w:rsidRPr="00426A6F">
        <w:t xml:space="preserve"> se indica</w:t>
      </w:r>
      <w:r w:rsidRPr="00426A6F">
        <w:t xml:space="preserve"> lo siguiente: “Todo individuo tiene derecho a la libertad de opinión y de expresión; este derecho incluye </w:t>
      </w:r>
      <w:r w:rsidR="001932AF" w:rsidRPr="00426A6F">
        <w:t xml:space="preserve">el de </w:t>
      </w:r>
      <w:r w:rsidRPr="00426A6F">
        <w:t xml:space="preserve">no ser molestado a causa de sus opiniones, el </w:t>
      </w:r>
      <w:r w:rsidR="0071649A" w:rsidRPr="00426A6F">
        <w:t>de</w:t>
      </w:r>
      <w:r w:rsidRPr="00426A6F">
        <w:t xml:space="preserve"> investigar y recibir informaciones y opiniones, y el </w:t>
      </w:r>
      <w:r w:rsidR="0071649A" w:rsidRPr="00426A6F">
        <w:t xml:space="preserve">de </w:t>
      </w:r>
      <w:r w:rsidRPr="00426A6F">
        <w:t>difundirlas, sin limitación de fronteras, p</w:t>
      </w:r>
      <w:r w:rsidR="0082185F" w:rsidRPr="00426A6F">
        <w:t>or cualquier medio de expresión</w:t>
      </w:r>
      <w:r w:rsidRPr="00426A6F">
        <w:t>”</w:t>
      </w:r>
      <w:r w:rsidR="00996465" w:rsidRPr="00426A6F">
        <w:t xml:space="preserve"> (1948).</w:t>
      </w:r>
    </w:p>
    <w:p w:rsidR="00F31057" w:rsidRPr="00426A6F" w:rsidRDefault="00F31057" w:rsidP="00426A6F">
      <w:pPr>
        <w:spacing w:line="360" w:lineRule="auto"/>
        <w:jc w:val="both"/>
        <w:rPr>
          <w:color w:val="000000"/>
          <w:lang w:val="es-MX"/>
        </w:rPr>
      </w:pPr>
      <w:r w:rsidRPr="00426A6F">
        <w:t>El Pacto Internacional de Dere</w:t>
      </w:r>
      <w:r w:rsidR="00996465" w:rsidRPr="00426A6F">
        <w:t>chos Civiles y Políticos (1966)</w:t>
      </w:r>
      <w:r w:rsidRPr="00426A6F">
        <w:t xml:space="preserve"> sigue la misma línea</w:t>
      </w:r>
      <w:r w:rsidR="005E3336" w:rsidRPr="00426A6F">
        <w:t>,</w:t>
      </w:r>
      <w:r w:rsidRPr="00426A6F">
        <w:t xml:space="preserve"> y en </w:t>
      </w:r>
      <w:r w:rsidR="005E3336" w:rsidRPr="00426A6F">
        <w:t>su</w:t>
      </w:r>
      <w:r w:rsidRPr="00426A6F">
        <w:t xml:space="preserve"> artículo 19.2 establece: </w:t>
      </w:r>
      <w:r w:rsidR="005E3336" w:rsidRPr="00426A6F">
        <w:t>“</w:t>
      </w:r>
      <w:r w:rsidRPr="00426A6F">
        <w:t>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r w:rsidRPr="00426A6F">
        <w:rPr>
          <w:color w:val="000000"/>
        </w:rPr>
        <w:t>”</w:t>
      </w:r>
      <w:r w:rsidR="00996465" w:rsidRPr="00426A6F">
        <w:rPr>
          <w:color w:val="000000"/>
        </w:rPr>
        <w:t>.</w:t>
      </w:r>
    </w:p>
    <w:p w:rsidR="00F31057" w:rsidRPr="00426A6F" w:rsidRDefault="00D50245" w:rsidP="00426A6F">
      <w:pPr>
        <w:spacing w:line="360" w:lineRule="auto"/>
        <w:jc w:val="both"/>
        <w:rPr>
          <w:lang w:val="es-MX"/>
        </w:rPr>
      </w:pPr>
      <w:r w:rsidRPr="00426A6F">
        <w:rPr>
          <w:lang w:val="es-MX"/>
        </w:rPr>
        <w:t>En el Sistema A</w:t>
      </w:r>
      <w:r w:rsidR="00F31057" w:rsidRPr="00426A6F">
        <w:rPr>
          <w:lang w:val="es-MX"/>
        </w:rPr>
        <w:t>mericano de Derechos Humanos podemos encontrar que el artículo 13</w:t>
      </w:r>
      <w:r w:rsidR="001932AF" w:rsidRPr="00426A6F">
        <w:rPr>
          <w:lang w:val="es-MX"/>
        </w:rPr>
        <w:t>°</w:t>
      </w:r>
      <w:r w:rsidR="00F31057" w:rsidRPr="00426A6F">
        <w:rPr>
          <w:lang w:val="es-MX"/>
        </w:rPr>
        <w:t xml:space="preserve"> del Pacto de San José</w:t>
      </w:r>
      <w:r w:rsidR="00996465" w:rsidRPr="00426A6F">
        <w:rPr>
          <w:lang w:val="es-MX"/>
        </w:rPr>
        <w:t xml:space="preserve"> (1969)</w:t>
      </w:r>
      <w:r w:rsidR="00F31057" w:rsidRPr="00426A6F">
        <w:rPr>
          <w:lang w:val="es-MX"/>
        </w:rPr>
        <w:t xml:space="preserve"> asocia</w:t>
      </w:r>
      <w:r w:rsidRPr="00426A6F">
        <w:rPr>
          <w:lang w:val="es-MX"/>
        </w:rPr>
        <w:t>,</w:t>
      </w:r>
      <w:r w:rsidR="00F31057" w:rsidRPr="00426A6F">
        <w:rPr>
          <w:lang w:val="es-MX"/>
        </w:rPr>
        <w:t xml:space="preserve"> también</w:t>
      </w:r>
      <w:r w:rsidRPr="00426A6F">
        <w:rPr>
          <w:lang w:val="es-MX"/>
        </w:rPr>
        <w:t>,</w:t>
      </w:r>
      <w:r w:rsidR="00F31057" w:rsidRPr="00426A6F">
        <w:rPr>
          <w:lang w:val="es-MX"/>
        </w:rPr>
        <w:t xml:space="preserve"> el derecho de acceso de información con el de libertad de </w:t>
      </w:r>
      <w:r w:rsidR="00F31057" w:rsidRPr="00426A6F">
        <w:rPr>
          <w:lang w:val="es-MX"/>
        </w:rPr>
        <w:lastRenderedPageBreak/>
        <w:t>expresión al señalar lo siguiente: “</w:t>
      </w:r>
      <w:r w:rsidR="00F31057" w:rsidRPr="00426A6F">
        <w:t>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r w:rsidR="00996465" w:rsidRPr="00426A6F">
        <w:t>.</w:t>
      </w:r>
    </w:p>
    <w:p w:rsidR="00F31057" w:rsidRPr="00426A6F" w:rsidRDefault="00F31057" w:rsidP="00426A6F">
      <w:pPr>
        <w:spacing w:line="360" w:lineRule="auto"/>
        <w:jc w:val="both"/>
      </w:pPr>
      <w:r w:rsidRPr="00426A6F">
        <w:t xml:space="preserve">El vocablo </w:t>
      </w:r>
      <w:r w:rsidRPr="00426A6F">
        <w:rPr>
          <w:i/>
        </w:rPr>
        <w:t>acceso</w:t>
      </w:r>
      <w:r w:rsidR="00CE1CE0" w:rsidRPr="00426A6F">
        <w:t>,</w:t>
      </w:r>
      <w:r w:rsidRPr="00426A6F">
        <w:t xml:space="preserve"> </w:t>
      </w:r>
      <w:r w:rsidR="00CE1CE0" w:rsidRPr="00426A6F">
        <w:t>se</w:t>
      </w:r>
      <w:r w:rsidR="001D0C58" w:rsidRPr="00426A6F">
        <w:t>gún</w:t>
      </w:r>
      <w:r w:rsidRPr="00426A6F">
        <w:t xml:space="preserve"> la Real Academia de la Lengua, </w:t>
      </w:r>
      <w:r w:rsidR="005E3336" w:rsidRPr="00426A6F">
        <w:t>significa</w:t>
      </w:r>
      <w:r w:rsidRPr="00426A6F">
        <w:t xml:space="preserve"> “l</w:t>
      </w:r>
      <w:r w:rsidR="00D50245" w:rsidRPr="00426A6F">
        <w:t>a acción de llegar o acercarse”.</w:t>
      </w:r>
      <w:r w:rsidRPr="00426A6F">
        <w:t xml:space="preserve"> Por información pública</w:t>
      </w:r>
      <w:r w:rsidR="00D50245" w:rsidRPr="00426A6F">
        <w:t>,</w:t>
      </w:r>
      <w:r w:rsidRPr="00426A6F">
        <w:t xml:space="preserve"> vimos que la ley se refiere a la contenida en los documentos que los sujetos obligados generen, obtengan, adquieran, transform</w:t>
      </w:r>
      <w:r w:rsidR="00FD6DE3" w:rsidRPr="00426A6F">
        <w:t>e</w:t>
      </w:r>
      <w:r w:rsidRPr="00426A6F">
        <w:t xml:space="preserve">n o conserven por cualquier título. La misma ley establece que </w:t>
      </w:r>
      <w:r w:rsidRPr="00426A6F">
        <w:rPr>
          <w:i/>
        </w:rPr>
        <w:t>documentos</w:t>
      </w:r>
      <w:r w:rsidRPr="00426A6F">
        <w:t xml:space="preserve"> es cualquier registro que documente el ejercicio de las facultades o su actividad en cualquier medio, sea visual, impreso, sonoro, escrito, electrónico u holográfico. </w:t>
      </w:r>
    </w:p>
    <w:p w:rsidR="00F31057" w:rsidRPr="00426A6F" w:rsidRDefault="00F31057" w:rsidP="00426A6F">
      <w:pPr>
        <w:spacing w:line="360" w:lineRule="auto"/>
        <w:jc w:val="both"/>
      </w:pPr>
      <w:r w:rsidRPr="00426A6F">
        <w:t xml:space="preserve">Podemos entonces concluir que el Derecho de Acceso a la Información es la prerrogativa que tiene cualquier persona, sin acreditar interés alguno, de llegar a los documentos que generen, </w:t>
      </w:r>
      <w:r w:rsidR="0082185F" w:rsidRPr="00426A6F">
        <w:t>obtenga</w:t>
      </w:r>
      <w:r w:rsidR="00B72899" w:rsidRPr="00426A6F">
        <w:t>n</w:t>
      </w:r>
      <w:r w:rsidRPr="00426A6F">
        <w:t>, adquieran, transform</w:t>
      </w:r>
      <w:r w:rsidR="00B72899" w:rsidRPr="00426A6F">
        <w:t>e</w:t>
      </w:r>
      <w:r w:rsidRPr="00426A6F">
        <w:t xml:space="preserve">n o conserven los sujetos obligados en cualquier medio.  </w:t>
      </w:r>
    </w:p>
    <w:p w:rsidR="00F31057" w:rsidRPr="00426A6F" w:rsidRDefault="00F31057" w:rsidP="00426A6F">
      <w:pPr>
        <w:spacing w:line="360" w:lineRule="auto"/>
        <w:jc w:val="both"/>
      </w:pPr>
      <w:r w:rsidRPr="00426A6F">
        <w:t xml:space="preserve">El DAI (Derecho de Acceso a la Información Pública) siempre se asocia con la transparencia y la protección de datos, lo podemos ver en el nombre de las leyes (Ley de Transparencia y Acceso a la Información </w:t>
      </w:r>
      <w:r w:rsidR="0082185F" w:rsidRPr="00426A6F">
        <w:t>Pública</w:t>
      </w:r>
      <w:r w:rsidRPr="00426A6F">
        <w:t xml:space="preserve"> Gubernamental) como en los órganos garantes (Instituto Federal de Acceso a la Información Pública y Protección de Datos), y aunque son cuestiones diferentes</w:t>
      </w:r>
      <w:r w:rsidR="00B72899" w:rsidRPr="00426A6F">
        <w:t>,</w:t>
      </w:r>
      <w:r w:rsidRPr="00426A6F">
        <w:t xml:space="preserve"> todos protegen el mismo derecho: el del acceso a la información pública, ya sea por obligación del gobierno a transparentar sus documentos o por proteger los datos confidenciales de las personas. </w:t>
      </w:r>
    </w:p>
    <w:p w:rsidR="00F31057" w:rsidRPr="00426A6F" w:rsidRDefault="00F31057" w:rsidP="00426A6F">
      <w:pPr>
        <w:spacing w:line="360" w:lineRule="auto"/>
        <w:jc w:val="both"/>
      </w:pPr>
      <w:r w:rsidRPr="00426A6F">
        <w:t xml:space="preserve">El vocablo </w:t>
      </w:r>
      <w:r w:rsidRPr="00426A6F">
        <w:rPr>
          <w:i/>
        </w:rPr>
        <w:t>transparencia</w:t>
      </w:r>
      <w:r w:rsidRPr="00426A6F">
        <w:t xml:space="preserve"> proviene del adjetivo “transparente”</w:t>
      </w:r>
      <w:r w:rsidR="005E3336" w:rsidRPr="00426A6F">
        <w:t>,</w:t>
      </w:r>
      <w:r w:rsidRPr="00426A6F">
        <w:t xml:space="preserve"> que sugiere una calidad de un cuerpo que deja ver claramente sus objetos, que permite dejar pasar la luz, que es translúcido, que es evidente o que se comprende sin duda ni ambigüedad. Aplicado a la filosofía política</w:t>
      </w:r>
      <w:r w:rsidR="000F7DC8" w:rsidRPr="00426A6F">
        <w:t>,</w:t>
      </w:r>
      <w:r w:rsidRPr="00426A6F">
        <w:t xml:space="preserve"> se entiende como una obligación por parte de los servidores públicos de dar a conocer los actos y documentos de su administración, especialmente el uso del dinero público, para prevenir la corrupción. Los organismos e instituciones de gobierno deben de simular colocar toda la información en una caja de cristal, transparente, por donde pase no solamente la luz sino los ojos de los ciu</w:t>
      </w:r>
      <w:r w:rsidR="0082185F" w:rsidRPr="00426A6F">
        <w:t>dadanos y de la opinión pública</w:t>
      </w:r>
      <w:r w:rsidR="00996465" w:rsidRPr="00426A6F">
        <w:t>.</w:t>
      </w:r>
    </w:p>
    <w:p w:rsidR="00F31057" w:rsidRPr="00426A6F" w:rsidRDefault="00F31057" w:rsidP="00426A6F">
      <w:pPr>
        <w:spacing w:line="360" w:lineRule="auto"/>
        <w:jc w:val="both"/>
      </w:pPr>
      <w:r w:rsidRPr="00426A6F">
        <w:t>Si bien es cierto</w:t>
      </w:r>
      <w:r w:rsidR="00B72899" w:rsidRPr="00426A6F">
        <w:t xml:space="preserve"> que </w:t>
      </w:r>
      <w:r w:rsidRPr="00426A6F">
        <w:t>la transparencia surge como una demanda de la sociedad</w:t>
      </w:r>
      <w:r w:rsidR="000F7DC8" w:rsidRPr="00426A6F">
        <w:t>,</w:t>
      </w:r>
      <w:r w:rsidRPr="00426A6F">
        <w:t xml:space="preserve"> para saber qué hace el gobierno con el dinero de nuestros impuestos, la práctica de esta actividad ha dado muchos beneficios </w:t>
      </w:r>
      <w:proofErr w:type="spellStart"/>
      <w:r w:rsidRPr="00426A6F">
        <w:t>metapolíticos</w:t>
      </w:r>
      <w:proofErr w:type="spellEnd"/>
      <w:r w:rsidRPr="00426A6F">
        <w:t xml:space="preserve">, pues se trata de compartir información que puede ser útil para </w:t>
      </w:r>
      <w:r w:rsidRPr="00426A6F">
        <w:lastRenderedPageBreak/>
        <w:t>la ciudadanía, empresas, asociaciones civiles y agrupaciones que pueden ver</w:t>
      </w:r>
      <w:r w:rsidR="00FD6DE3" w:rsidRPr="00426A6F">
        <w:t>se</w:t>
      </w:r>
      <w:r w:rsidRPr="00426A6F">
        <w:t xml:space="preserve"> beneficiadas de muchas maneras al tener información de fácil acceso, real y concisa que el gobierno a través de sus diversas actividades recaba, genera o resguarda. </w:t>
      </w:r>
    </w:p>
    <w:p w:rsidR="002B5A5B" w:rsidRPr="00426A6F" w:rsidRDefault="00F31057" w:rsidP="00426A6F">
      <w:pPr>
        <w:tabs>
          <w:tab w:val="left" w:pos="2225"/>
        </w:tabs>
        <w:spacing w:line="360" w:lineRule="auto"/>
        <w:jc w:val="both"/>
      </w:pPr>
      <w:r w:rsidRPr="00426A6F">
        <w:t xml:space="preserve">El Acceso a la Información debe entenderse como un derecho </w:t>
      </w:r>
      <w:r w:rsidR="000F7DC8" w:rsidRPr="00426A6F">
        <w:t>humano, consagrado por nuestra C</w:t>
      </w:r>
      <w:r w:rsidRPr="00426A6F">
        <w:t>onstitución y que le da a cualquier persona, sin necesidad de acreditar interés alguno, la prerrogativa de hacerse de cualquier documento que cualquier servidor público genere, resguarde o tenga a su alcance. Existen excepciones al acceso a la información</w:t>
      </w:r>
      <w:r w:rsidR="00B72899" w:rsidRPr="00426A6F">
        <w:t>,</w:t>
      </w:r>
      <w:r w:rsidRPr="00426A6F">
        <w:t xml:space="preserve"> como la información reservada, que es información pública que se guarda</w:t>
      </w:r>
      <w:r w:rsidR="00B72899" w:rsidRPr="00426A6F">
        <w:t xml:space="preserve"> </w:t>
      </w:r>
      <w:r w:rsidRPr="00426A6F">
        <w:t>en custodia por un tiempo determinado con la finalidad de proteger algún otro derecho si se llega a difundir, como puede ser la vida, la seguridad o la gobernabilidad. Del mismo modo</w:t>
      </w:r>
      <w:r w:rsidR="000F7DC8" w:rsidRPr="00426A6F">
        <w:t>,</w:t>
      </w:r>
      <w:r w:rsidRPr="00426A6F">
        <w:t xml:space="preserve"> también existe la información confidencial, la cual nunca se da a conocer y se guarda en secreto al consistir </w:t>
      </w:r>
      <w:r w:rsidR="00FD6DE3" w:rsidRPr="00426A6F">
        <w:t>en</w:t>
      </w:r>
      <w:r w:rsidRPr="00426A6F">
        <w:t xml:space="preserve"> datos personales de los habitantes del Estado. Sin embargo</w:t>
      </w:r>
      <w:r w:rsidR="000F7DC8" w:rsidRPr="00426A6F">
        <w:t>,</w:t>
      </w:r>
      <w:r w:rsidRPr="00426A6F">
        <w:t xml:space="preserve"> en nuestro país debe imperar el principio de máxima</w:t>
      </w:r>
      <w:r w:rsidR="000F7DC8" w:rsidRPr="00426A6F">
        <w:t xml:space="preserve"> publicidad que </w:t>
      </w:r>
      <w:r w:rsidR="00B72899" w:rsidRPr="00426A6F">
        <w:t>señala</w:t>
      </w:r>
      <w:r w:rsidR="000F7DC8" w:rsidRPr="00426A6F">
        <w:t xml:space="preserve"> la Constitución</w:t>
      </w:r>
      <w:bookmarkStart w:id="3" w:name="_Toc451977326"/>
      <w:r w:rsidR="00996465" w:rsidRPr="00426A6F">
        <w:t xml:space="preserve"> (Castro Vizcarra, 2014)</w:t>
      </w:r>
      <w:r w:rsidR="00B72899" w:rsidRPr="00426A6F">
        <w:t>.</w:t>
      </w:r>
    </w:p>
    <w:p w:rsidR="00996465" w:rsidRPr="00426A6F" w:rsidRDefault="00F31057" w:rsidP="00426A6F">
      <w:pPr>
        <w:tabs>
          <w:tab w:val="left" w:pos="2225"/>
        </w:tabs>
        <w:spacing w:line="360" w:lineRule="auto"/>
        <w:jc w:val="both"/>
      </w:pPr>
      <w:r w:rsidRPr="00426A6F">
        <w:t>El DAI en el sistema americano</w:t>
      </w:r>
      <w:bookmarkEnd w:id="3"/>
      <w:r w:rsidR="002B5A5B" w:rsidRPr="00426A6F">
        <w:t>, c</w:t>
      </w:r>
      <w:r w:rsidRPr="00426A6F">
        <w:t>omo observamos en el subcapítulo anterior el Derecho de Acceso a la Información</w:t>
      </w:r>
      <w:r w:rsidR="000F7DC8" w:rsidRPr="00426A6F">
        <w:t>,</w:t>
      </w:r>
      <w:r w:rsidRPr="00426A6F">
        <w:t xml:space="preserve"> se encuentra consagrado en los tratados internacionales en la libertad de expresión, sin embargo</w:t>
      </w:r>
      <w:r w:rsidR="000F7DC8" w:rsidRPr="00426A6F">
        <w:t>,</w:t>
      </w:r>
      <w:r w:rsidRPr="00426A6F">
        <w:t xml:space="preserve"> vamos a revisar algunas sentencias y documentos donde la Corte Interamericana y la Comisión Interamericana establecen que el Derecho de Acceso a la Información es un </w:t>
      </w:r>
      <w:r w:rsidR="00B72899" w:rsidRPr="00426A6F">
        <w:t>d</w:t>
      </w:r>
      <w:r w:rsidRPr="00426A6F">
        <w:t xml:space="preserve">erecho </w:t>
      </w:r>
      <w:r w:rsidR="00B72899" w:rsidRPr="00426A6F">
        <w:t>h</w:t>
      </w:r>
      <w:r w:rsidRPr="00426A6F">
        <w:t>umano por sí solo.</w:t>
      </w:r>
    </w:p>
    <w:p w:rsidR="00996465" w:rsidRPr="00426A6F" w:rsidRDefault="00F31057" w:rsidP="00426A6F">
      <w:pPr>
        <w:tabs>
          <w:tab w:val="left" w:pos="2225"/>
        </w:tabs>
        <w:spacing w:line="360" w:lineRule="auto"/>
        <w:jc w:val="both"/>
      </w:pPr>
      <w:r w:rsidRPr="00426A6F">
        <w:t>El Derecho de Acceso a la Información</w:t>
      </w:r>
      <w:r w:rsidR="000F7DC8" w:rsidRPr="00426A6F">
        <w:t>,</w:t>
      </w:r>
      <w:r w:rsidRPr="00426A6F">
        <w:t xml:space="preserve"> como </w:t>
      </w:r>
      <w:r w:rsidR="001311A9" w:rsidRPr="00426A6F">
        <w:t xml:space="preserve">se </w:t>
      </w:r>
      <w:r w:rsidRPr="00426A6F">
        <w:t>conoce ahora</w:t>
      </w:r>
      <w:r w:rsidR="000F7DC8" w:rsidRPr="00426A6F">
        <w:t>,</w:t>
      </w:r>
      <w:r w:rsidRPr="00426A6F">
        <w:t xml:space="preserve"> </w:t>
      </w:r>
      <w:r w:rsidR="001311A9" w:rsidRPr="00426A6F">
        <w:t>surgió</w:t>
      </w:r>
      <w:r w:rsidRPr="00426A6F">
        <w:t xml:space="preserve"> a partir de los años noventa</w:t>
      </w:r>
      <w:r w:rsidR="001311A9" w:rsidRPr="00426A6F">
        <w:t>. S</w:t>
      </w:r>
      <w:r w:rsidRPr="00426A6F">
        <w:t xml:space="preserve">us primeros intentos </w:t>
      </w:r>
      <w:r w:rsidR="001311A9" w:rsidRPr="00426A6F">
        <w:t xml:space="preserve">fueron </w:t>
      </w:r>
      <w:r w:rsidR="000F7DC8" w:rsidRPr="00426A6F">
        <w:t xml:space="preserve">en los años setenta, </w:t>
      </w:r>
      <w:r w:rsidR="001311A9" w:rsidRPr="00426A6F">
        <w:t>con</w:t>
      </w:r>
      <w:r w:rsidR="000F7DC8" w:rsidRPr="00426A6F">
        <w:t xml:space="preserve"> la</w:t>
      </w:r>
      <w:r w:rsidRPr="00426A6F">
        <w:t xml:space="preserve"> reforma constitucional de 1977 al artículo sexto, sin embargo</w:t>
      </w:r>
      <w:r w:rsidR="000F7DC8" w:rsidRPr="00426A6F">
        <w:t>,</w:t>
      </w:r>
      <w:r w:rsidRPr="00426A6F">
        <w:t xml:space="preserve"> </w:t>
      </w:r>
      <w:r w:rsidR="001311A9" w:rsidRPr="00426A6F">
        <w:t xml:space="preserve">este </w:t>
      </w:r>
      <w:r w:rsidRPr="00426A6F">
        <w:t>sólo establecía que se garantizaría el Derecho de Acceso a la Información</w:t>
      </w:r>
      <w:r w:rsidR="00B72899" w:rsidRPr="00426A6F">
        <w:t>, pero</w:t>
      </w:r>
      <w:r w:rsidRPr="00426A6F">
        <w:t xml:space="preserve"> no decía c</w:t>
      </w:r>
      <w:r w:rsidR="00B72899" w:rsidRPr="00426A6F">
        <w:t>ó</w:t>
      </w:r>
      <w:r w:rsidRPr="00426A6F">
        <w:t>mo. No</w:t>
      </w:r>
      <w:r w:rsidR="00B72899" w:rsidRPr="00426A6F">
        <w:t xml:space="preserve"> fue sino</w:t>
      </w:r>
      <w:r w:rsidRPr="00426A6F">
        <w:t xml:space="preserve"> hasta el año 2002 que en nuestro país se cre</w:t>
      </w:r>
      <w:r w:rsidR="001311A9" w:rsidRPr="00426A6F">
        <w:t xml:space="preserve">aron </w:t>
      </w:r>
      <w:r w:rsidRPr="00426A6F">
        <w:t>la ley y el órgano que garantizaría</w:t>
      </w:r>
      <w:r w:rsidR="00B72899" w:rsidRPr="00426A6F">
        <w:t>n este</w:t>
      </w:r>
      <w:r w:rsidRPr="00426A6F">
        <w:t xml:space="preserve"> derecho. </w:t>
      </w:r>
    </w:p>
    <w:p w:rsidR="00996465" w:rsidRPr="00426A6F" w:rsidRDefault="00F31057" w:rsidP="00426A6F">
      <w:pPr>
        <w:tabs>
          <w:tab w:val="left" w:pos="2225"/>
        </w:tabs>
        <w:spacing w:line="360" w:lineRule="auto"/>
        <w:jc w:val="both"/>
      </w:pPr>
      <w:r w:rsidRPr="00426A6F">
        <w:t>Tomando en cuenta los antecedentes históricos del Derecho de Acceso a la Información podemos ver porqu</w:t>
      </w:r>
      <w:r w:rsidR="001311A9" w:rsidRPr="00426A6F">
        <w:t>é</w:t>
      </w:r>
      <w:r w:rsidRPr="00426A6F">
        <w:t xml:space="preserve"> en los tratados firmados en 1949, 1966 y 1969 no se establecía al Derecho de Acceso a la Información en un artículo propio sino como parte de la libertad de expresión.</w:t>
      </w:r>
    </w:p>
    <w:p w:rsidR="00996465" w:rsidRPr="00426A6F" w:rsidRDefault="00F31057" w:rsidP="00426A6F">
      <w:pPr>
        <w:tabs>
          <w:tab w:val="left" w:pos="2225"/>
        </w:tabs>
        <w:spacing w:line="360" w:lineRule="auto"/>
        <w:jc w:val="both"/>
      </w:pPr>
      <w:r w:rsidRPr="00426A6F">
        <w:t>La relatoría especial para la libertad de expresión de la Comisión Interamericana de Derechos Humanos estableció en 2012 que</w:t>
      </w:r>
      <w:r w:rsidR="000F7DC8" w:rsidRPr="00426A6F">
        <w:t>:</w:t>
      </w:r>
      <w:r w:rsidRPr="00426A6F">
        <w:t xml:space="preserve"> “El Derecho de Acceso a la Información es un derecho fundamental protegido por el artículo 13</w:t>
      </w:r>
      <w:r w:rsidR="001311A9" w:rsidRPr="00426A6F">
        <w:t>°</w:t>
      </w:r>
      <w:r w:rsidRPr="00426A6F">
        <w:t xml:space="preserve"> de la Convención Americana. Se trata </w:t>
      </w:r>
      <w:r w:rsidR="000F7DC8" w:rsidRPr="00426A6F">
        <w:t xml:space="preserve">pues, </w:t>
      </w:r>
      <w:r w:rsidRPr="00426A6F">
        <w:t xml:space="preserve">de un derecho particularmente importante para la consolidación, el funcionamiento y la preservación de los sistemas democráticos, por lo cual ha recibido un alto grado de atención, tanto por los </w:t>
      </w:r>
      <w:r w:rsidRPr="00426A6F">
        <w:lastRenderedPageBreak/>
        <w:t>Estados miembros de la OEA como por la doctrina y la jurisprudencia internacional”</w:t>
      </w:r>
      <w:r w:rsidR="00996465" w:rsidRPr="00426A6F">
        <w:t xml:space="preserve"> (CIDH, 2014)</w:t>
      </w:r>
      <w:r w:rsidR="001311A9" w:rsidRPr="00426A6F">
        <w:t>.</w:t>
      </w:r>
    </w:p>
    <w:p w:rsidR="00D926D5" w:rsidRPr="00426A6F" w:rsidRDefault="00F31057" w:rsidP="00426A6F">
      <w:pPr>
        <w:tabs>
          <w:tab w:val="left" w:pos="2225"/>
        </w:tabs>
        <w:spacing w:line="360" w:lineRule="auto"/>
        <w:jc w:val="both"/>
        <w:rPr>
          <w:lang w:val="es-MX"/>
        </w:rPr>
      </w:pPr>
      <w:r w:rsidRPr="00426A6F">
        <w:t>La propia Relatoría Especial en el mismo documento nos da un concepto a través de su interpretación: “</w:t>
      </w:r>
      <w:r w:rsidR="00E830D4" w:rsidRPr="00426A6F">
        <w:t>E</w:t>
      </w:r>
      <w:r w:rsidRPr="00426A6F">
        <w:rPr>
          <w:lang w:val="es-MX"/>
        </w:rPr>
        <w:t>l artículo 13</w:t>
      </w:r>
      <w:r w:rsidR="00E830D4" w:rsidRPr="00426A6F">
        <w:rPr>
          <w:lang w:val="es-MX"/>
        </w:rPr>
        <w:t>°</w:t>
      </w:r>
      <w:r w:rsidRPr="00426A6F">
        <w:rPr>
          <w:lang w:val="es-MX"/>
        </w:rPr>
        <w:t xml:space="preserve"> de la Convención Americana comprende la obligación positiva en cabeza del Estado de permitir a los ciudadanos acceder a la i</w:t>
      </w:r>
      <w:r w:rsidR="000F7DC8" w:rsidRPr="00426A6F">
        <w:rPr>
          <w:lang w:val="es-MX"/>
        </w:rPr>
        <w:t>nformación que está en su poder</w:t>
      </w:r>
      <w:r w:rsidRPr="00426A6F">
        <w:rPr>
          <w:lang w:val="es-MX"/>
        </w:rPr>
        <w:t>”</w:t>
      </w:r>
      <w:r w:rsidR="00D926D5" w:rsidRPr="00426A6F">
        <w:rPr>
          <w:lang w:val="es-MX"/>
        </w:rPr>
        <w:t xml:space="preserve"> (CIDH, 2014)</w:t>
      </w:r>
      <w:r w:rsidR="000F7DC8" w:rsidRPr="00426A6F">
        <w:rPr>
          <w:lang w:val="es-MX"/>
        </w:rPr>
        <w:t>.</w:t>
      </w:r>
      <w:r w:rsidRPr="00426A6F">
        <w:rPr>
          <w:lang w:val="es-MX"/>
        </w:rPr>
        <w:t xml:space="preserve"> Esto despeja toda duda de que el artículo 13</w:t>
      </w:r>
      <w:r w:rsidR="00E830D4" w:rsidRPr="00426A6F">
        <w:rPr>
          <w:lang w:val="es-MX"/>
        </w:rPr>
        <w:t>°</w:t>
      </w:r>
      <w:r w:rsidRPr="00426A6F">
        <w:rPr>
          <w:lang w:val="es-MX"/>
        </w:rPr>
        <w:t xml:space="preserve"> no sólo abarca el Derecho de Acceso a la Información en el sistema Americano</w:t>
      </w:r>
      <w:r w:rsidR="00E830D4" w:rsidRPr="00426A6F">
        <w:rPr>
          <w:lang w:val="es-MX"/>
        </w:rPr>
        <w:t>,</w:t>
      </w:r>
      <w:r w:rsidRPr="00426A6F">
        <w:rPr>
          <w:lang w:val="es-MX"/>
        </w:rPr>
        <w:t xml:space="preserve"> sino que es en sí un derecho humano, diferente e importante para la consolidación de los sistemas democráticos.</w:t>
      </w:r>
    </w:p>
    <w:p w:rsidR="00D926D5" w:rsidRPr="00426A6F" w:rsidRDefault="00F31057" w:rsidP="00426A6F">
      <w:pPr>
        <w:tabs>
          <w:tab w:val="left" w:pos="2225"/>
        </w:tabs>
        <w:spacing w:line="360" w:lineRule="auto"/>
        <w:jc w:val="both"/>
      </w:pPr>
      <w:r w:rsidRPr="00426A6F">
        <w:rPr>
          <w:lang w:val="es-MX"/>
        </w:rPr>
        <w:t>Inclusive “</w:t>
      </w:r>
      <w:r w:rsidRPr="00426A6F">
        <w:t>la Corte Interamericana ha establecido que el artículo 13</w:t>
      </w:r>
      <w:r w:rsidR="00E830D4" w:rsidRPr="00426A6F">
        <w:t>°</w:t>
      </w:r>
      <w:r w:rsidRPr="00426A6F">
        <w:t xml:space="preserve"> de la Convención Americana, al estipular expresamente los derechos a buscar y a recibir informaciones, protege el derecho que tiene toda persona a acceder a la información bajo el control del Estado, con las salvedades permitidas bajo el estricto régimen de restricciones establecido en dicho instrumento”</w:t>
      </w:r>
      <w:r w:rsidR="00D926D5" w:rsidRPr="00426A6F">
        <w:t xml:space="preserve"> (CIDH, 2014)</w:t>
      </w:r>
      <w:r w:rsidR="0082185F" w:rsidRPr="00426A6F">
        <w:t>.</w:t>
      </w:r>
      <w:r w:rsidRPr="00426A6F">
        <w:t xml:space="preserve"> Si bien </w:t>
      </w:r>
      <w:r w:rsidR="00E830D4" w:rsidRPr="00426A6F">
        <w:t xml:space="preserve">esto </w:t>
      </w:r>
      <w:r w:rsidRPr="00426A6F">
        <w:t>es cierto</w:t>
      </w:r>
      <w:r w:rsidR="000F7DC8" w:rsidRPr="00426A6F">
        <w:t>,</w:t>
      </w:r>
      <w:r w:rsidRPr="00426A6F">
        <w:t xml:space="preserve"> </w:t>
      </w:r>
      <w:r w:rsidR="00E830D4" w:rsidRPr="00426A6F">
        <w:t xml:space="preserve"> h</w:t>
      </w:r>
      <w:r w:rsidRPr="00426A6F">
        <w:t>abla de un control por parte del Estado</w:t>
      </w:r>
      <w:r w:rsidR="00E830D4" w:rsidRPr="00426A6F">
        <w:t xml:space="preserve"> y</w:t>
      </w:r>
      <w:r w:rsidRPr="00426A6F">
        <w:t xml:space="preserve"> también señala el contenido y el alcance del derecho y que las restricciones deben ser mínimas. </w:t>
      </w:r>
    </w:p>
    <w:p w:rsidR="00D926D5" w:rsidRPr="00426A6F" w:rsidRDefault="00F31057" w:rsidP="00426A6F">
      <w:pPr>
        <w:tabs>
          <w:tab w:val="left" w:pos="2225"/>
        </w:tabs>
        <w:spacing w:line="360" w:lineRule="auto"/>
        <w:jc w:val="both"/>
        <w:rPr>
          <w:lang w:val="es-MX"/>
        </w:rPr>
      </w:pPr>
      <w:r w:rsidRPr="00426A6F">
        <w:t>Podemos encon</w:t>
      </w:r>
      <w:r w:rsidR="000F7DC8" w:rsidRPr="00426A6F">
        <w:t>trar otras evidencias donde la C</w:t>
      </w:r>
      <w:r w:rsidRPr="00426A6F">
        <w:t>orte reconoce que es un nuevo derecho humano inclusive e</w:t>
      </w:r>
      <w:r w:rsidRPr="00426A6F">
        <w:rPr>
          <w:lang w:val="es-MX"/>
        </w:rPr>
        <w:t xml:space="preserve">n las sentencias de los </w:t>
      </w:r>
      <w:r w:rsidR="00E830D4" w:rsidRPr="00426A6F">
        <w:rPr>
          <w:lang w:val="es-MX"/>
        </w:rPr>
        <w:t>c</w:t>
      </w:r>
      <w:r w:rsidRPr="00426A6F">
        <w:rPr>
          <w:lang w:val="es-MX"/>
        </w:rPr>
        <w:t xml:space="preserve">asos Claude Reyes y otros y Gomes </w:t>
      </w:r>
      <w:proofErr w:type="spellStart"/>
      <w:r w:rsidRPr="00426A6F">
        <w:rPr>
          <w:lang w:val="es-MX"/>
        </w:rPr>
        <w:t>Lund</w:t>
      </w:r>
      <w:proofErr w:type="spellEnd"/>
      <w:r w:rsidRPr="00426A6F">
        <w:rPr>
          <w:lang w:val="es-MX"/>
        </w:rPr>
        <w:t xml:space="preserve"> y otros (</w:t>
      </w:r>
      <w:proofErr w:type="spellStart"/>
      <w:r w:rsidRPr="00426A6F">
        <w:rPr>
          <w:i/>
          <w:lang w:val="es-MX"/>
        </w:rPr>
        <w:t>Guerrilha</w:t>
      </w:r>
      <w:proofErr w:type="spellEnd"/>
      <w:r w:rsidRPr="00426A6F">
        <w:rPr>
          <w:i/>
          <w:lang w:val="es-MX"/>
        </w:rPr>
        <w:t xml:space="preserve"> do </w:t>
      </w:r>
      <w:proofErr w:type="spellStart"/>
      <w:r w:rsidRPr="00426A6F">
        <w:rPr>
          <w:i/>
          <w:lang w:val="es-MX"/>
        </w:rPr>
        <w:t>Araguaia</w:t>
      </w:r>
      <w:proofErr w:type="spellEnd"/>
      <w:r w:rsidRPr="00426A6F">
        <w:rPr>
          <w:lang w:val="es-MX"/>
        </w:rPr>
        <w:t>)</w:t>
      </w:r>
      <w:r w:rsidR="00E830D4" w:rsidRPr="00426A6F">
        <w:rPr>
          <w:lang w:val="es-MX"/>
        </w:rPr>
        <w:t>. L</w:t>
      </w:r>
      <w:r w:rsidRPr="00426A6F">
        <w:rPr>
          <w:lang w:val="es-MX"/>
        </w:rPr>
        <w:t>a Corte ya no se refirió a la formulación clásica del artículo 13</w:t>
      </w:r>
      <w:r w:rsidR="00E830D4" w:rsidRPr="00426A6F">
        <w:rPr>
          <w:lang w:val="es-MX"/>
        </w:rPr>
        <w:t>°</w:t>
      </w:r>
      <w:r w:rsidRPr="00426A6F">
        <w:rPr>
          <w:lang w:val="es-MX"/>
        </w:rPr>
        <w:t xml:space="preserve"> de la Convención Americana (en términos de la libertad de expresión) y </w:t>
      </w:r>
      <w:r w:rsidR="00E830D4" w:rsidRPr="00426A6F">
        <w:rPr>
          <w:lang w:val="es-MX"/>
        </w:rPr>
        <w:t xml:space="preserve">más bien </w:t>
      </w:r>
      <w:r w:rsidRPr="00426A6F">
        <w:rPr>
          <w:lang w:val="es-MX"/>
        </w:rPr>
        <w:t>sostuvo la existe</w:t>
      </w:r>
      <w:r w:rsidR="0082185F" w:rsidRPr="00426A6F">
        <w:rPr>
          <w:lang w:val="es-MX"/>
        </w:rPr>
        <w:t>ncia de un nuevo derecho humano</w:t>
      </w:r>
      <w:r w:rsidR="00D926D5" w:rsidRPr="00426A6F">
        <w:rPr>
          <w:lang w:val="es-MX"/>
        </w:rPr>
        <w:t xml:space="preserve"> (Bertoni y </w:t>
      </w:r>
      <w:proofErr w:type="spellStart"/>
      <w:r w:rsidR="00D926D5" w:rsidRPr="00426A6F">
        <w:rPr>
          <w:lang w:val="es-MX"/>
        </w:rPr>
        <w:t>Zelada</w:t>
      </w:r>
      <w:proofErr w:type="spellEnd"/>
      <w:r w:rsidR="00D926D5" w:rsidRPr="00426A6F">
        <w:rPr>
          <w:lang w:val="es-MX"/>
        </w:rPr>
        <w:t>, 2014).</w:t>
      </w:r>
    </w:p>
    <w:p w:rsidR="00F31057" w:rsidRPr="00426A6F" w:rsidRDefault="00F31057" w:rsidP="00426A6F">
      <w:pPr>
        <w:tabs>
          <w:tab w:val="left" w:pos="2225"/>
        </w:tabs>
        <w:spacing w:line="360" w:lineRule="auto"/>
        <w:jc w:val="both"/>
        <w:rPr>
          <w:lang w:val="es-MX"/>
        </w:rPr>
      </w:pPr>
      <w:r w:rsidRPr="00426A6F">
        <w:rPr>
          <w:lang w:val="es-MX"/>
        </w:rPr>
        <w:t xml:space="preserve">La decisión de la Corte Interamericana de afirmar que el acceso a la información constituye un derecho fundamental </w:t>
      </w:r>
      <w:r w:rsidR="00E830D4" w:rsidRPr="00426A6F">
        <w:rPr>
          <w:lang w:val="es-MX"/>
        </w:rPr>
        <w:t>es</w:t>
      </w:r>
      <w:r w:rsidRPr="00426A6F">
        <w:rPr>
          <w:lang w:val="es-MX"/>
        </w:rPr>
        <w:t xml:space="preserve"> considerada histórica por muchas organizaciones protectoras de </w:t>
      </w:r>
      <w:r w:rsidR="00E830D4" w:rsidRPr="00426A6F">
        <w:rPr>
          <w:lang w:val="es-MX"/>
        </w:rPr>
        <w:t>los d</w:t>
      </w:r>
      <w:r w:rsidRPr="00426A6F">
        <w:rPr>
          <w:lang w:val="es-MX"/>
        </w:rPr>
        <w:t xml:space="preserve">erechos </w:t>
      </w:r>
      <w:r w:rsidR="00E830D4" w:rsidRPr="00426A6F">
        <w:rPr>
          <w:lang w:val="es-MX"/>
        </w:rPr>
        <w:t>h</w:t>
      </w:r>
      <w:r w:rsidRPr="00426A6F">
        <w:rPr>
          <w:lang w:val="es-MX"/>
        </w:rPr>
        <w:t>umanos</w:t>
      </w:r>
      <w:r w:rsidR="00E830D4" w:rsidRPr="00426A6F">
        <w:rPr>
          <w:lang w:val="es-MX"/>
        </w:rPr>
        <w:t xml:space="preserve">, </w:t>
      </w:r>
      <w:r w:rsidR="00AD21DE" w:rsidRPr="00426A6F">
        <w:rPr>
          <w:lang w:val="es-MX"/>
        </w:rPr>
        <w:t>pues</w:t>
      </w:r>
      <w:r w:rsidRPr="00426A6F">
        <w:rPr>
          <w:lang w:val="es-MX"/>
        </w:rPr>
        <w:t xml:space="preserve"> fue el primer tri</w:t>
      </w:r>
      <w:r w:rsidR="0082185F" w:rsidRPr="00426A6F">
        <w:rPr>
          <w:lang w:val="es-MX"/>
        </w:rPr>
        <w:t xml:space="preserve">bunal internacional </w:t>
      </w:r>
      <w:r w:rsidR="00E830D4" w:rsidRPr="00426A6F">
        <w:rPr>
          <w:lang w:val="es-MX"/>
        </w:rPr>
        <w:t>en hacerlo</w:t>
      </w:r>
      <w:r w:rsidR="00953A53" w:rsidRPr="00426A6F">
        <w:rPr>
          <w:lang w:val="es-MX"/>
        </w:rPr>
        <w:t xml:space="preserve"> (Bertoni y </w:t>
      </w:r>
      <w:proofErr w:type="spellStart"/>
      <w:r w:rsidR="00953A53" w:rsidRPr="00426A6F">
        <w:rPr>
          <w:lang w:val="es-MX"/>
        </w:rPr>
        <w:t>Zelada</w:t>
      </w:r>
      <w:proofErr w:type="spellEnd"/>
      <w:r w:rsidR="00953A53" w:rsidRPr="00426A6F">
        <w:rPr>
          <w:lang w:val="es-MX"/>
        </w:rPr>
        <w:t>, 2014)</w:t>
      </w:r>
      <w:r w:rsidR="0082185F" w:rsidRPr="00426A6F">
        <w:rPr>
          <w:lang w:val="es-MX"/>
        </w:rPr>
        <w:t>.</w:t>
      </w:r>
    </w:p>
    <w:p w:rsidR="00D926D5" w:rsidRPr="00426A6F" w:rsidRDefault="00D926D5" w:rsidP="00426A6F">
      <w:pPr>
        <w:tabs>
          <w:tab w:val="left" w:pos="2225"/>
        </w:tabs>
        <w:spacing w:line="360" w:lineRule="auto"/>
        <w:jc w:val="both"/>
        <w:rPr>
          <w:lang w:val="es-MX"/>
        </w:rPr>
      </w:pPr>
    </w:p>
    <w:p w:rsidR="00F31057" w:rsidRPr="00426A6F" w:rsidRDefault="002B5A5B" w:rsidP="00426A6F">
      <w:pPr>
        <w:spacing w:before="240" w:after="240" w:line="360" w:lineRule="auto"/>
        <w:contextualSpacing/>
        <w:jc w:val="both"/>
        <w:rPr>
          <w:b/>
        </w:rPr>
      </w:pPr>
      <w:r w:rsidRPr="00426A6F">
        <w:rPr>
          <w:b/>
          <w:lang w:val="es-MX"/>
        </w:rPr>
        <w:t>CONCLUSIÓN</w:t>
      </w:r>
      <w:r w:rsidR="00F31057" w:rsidRPr="00426A6F">
        <w:rPr>
          <w:b/>
        </w:rPr>
        <w:tab/>
      </w:r>
    </w:p>
    <w:p w:rsidR="00F31057" w:rsidRPr="00426A6F" w:rsidRDefault="00F31057" w:rsidP="00426A6F">
      <w:pPr>
        <w:pStyle w:val="Prrafodelista"/>
        <w:spacing w:before="240" w:after="240" w:line="360" w:lineRule="auto"/>
        <w:ind w:left="0"/>
        <w:contextualSpacing/>
        <w:jc w:val="both"/>
      </w:pPr>
      <w:r w:rsidRPr="00426A6F">
        <w:t xml:space="preserve">Los </w:t>
      </w:r>
      <w:r w:rsidR="00C52BA3" w:rsidRPr="00426A6F">
        <w:t>d</w:t>
      </w:r>
      <w:r w:rsidRPr="00426A6F">
        <w:t xml:space="preserve">erechos </w:t>
      </w:r>
      <w:r w:rsidR="00C52BA3" w:rsidRPr="00426A6F">
        <w:t>h</w:t>
      </w:r>
      <w:r w:rsidRPr="00426A6F">
        <w:t xml:space="preserve">umanos son un tipo de derechos que se enfocan en proteger la dignidad y los bienes básicos, que crean obligaciones para las autoridades y </w:t>
      </w:r>
      <w:r w:rsidR="001D0C58" w:rsidRPr="00426A6F">
        <w:t>cuya</w:t>
      </w:r>
      <w:r w:rsidRPr="00426A6F">
        <w:t xml:space="preserve"> positivización es muy importante</w:t>
      </w:r>
      <w:r w:rsidR="00A75AE7" w:rsidRPr="00426A6F">
        <w:t>.</w:t>
      </w:r>
      <w:r w:rsidR="00C52BA3" w:rsidRPr="00426A6F">
        <w:t xml:space="preserve"> </w:t>
      </w:r>
      <w:r w:rsidRPr="00426A6F">
        <w:t>Están dotados de características especiales: son inherentes a la persona, incondicionales, trasnacionales, inalienables, irrenunciables, imprescriptibles e irreversibles. Sin embargo</w:t>
      </w:r>
      <w:r w:rsidR="00A75AE7" w:rsidRPr="00426A6F">
        <w:t>,</w:t>
      </w:r>
      <w:r w:rsidRPr="00426A6F">
        <w:t xml:space="preserve"> los </w:t>
      </w:r>
      <w:r w:rsidR="00C52BA3" w:rsidRPr="00426A6F">
        <w:t>d</w:t>
      </w:r>
      <w:r w:rsidRPr="00426A6F">
        <w:t xml:space="preserve">erechos </w:t>
      </w:r>
      <w:r w:rsidR="00C52BA3" w:rsidRPr="00426A6F">
        <w:t>h</w:t>
      </w:r>
      <w:r w:rsidRPr="00426A6F">
        <w:t>umanos no son absolutos, es decir</w:t>
      </w:r>
      <w:r w:rsidR="00C52BA3" w:rsidRPr="00426A6F">
        <w:t>,</w:t>
      </w:r>
      <w:r w:rsidRPr="00426A6F">
        <w:t xml:space="preserve"> es necesario limitarlos para que impidan avasallar otros </w:t>
      </w:r>
      <w:r w:rsidR="00C52BA3" w:rsidRPr="00426A6F">
        <w:t>d</w:t>
      </w:r>
      <w:r w:rsidRPr="00426A6F">
        <w:t xml:space="preserve">erechos </w:t>
      </w:r>
      <w:r w:rsidR="00C52BA3" w:rsidRPr="00426A6F">
        <w:t>h</w:t>
      </w:r>
      <w:r w:rsidRPr="00426A6F">
        <w:t>umanos entendiendo que son i</w:t>
      </w:r>
      <w:r w:rsidR="0082185F" w:rsidRPr="00426A6F">
        <w:t>ndivisibles e interdependientes</w:t>
      </w:r>
      <w:r w:rsidR="00D926D5" w:rsidRPr="00426A6F">
        <w:t xml:space="preserve"> (Carbonell, 2014)</w:t>
      </w:r>
      <w:r w:rsidR="0082185F" w:rsidRPr="00426A6F">
        <w:t>.</w:t>
      </w:r>
    </w:p>
    <w:p w:rsidR="00F31057" w:rsidRPr="00426A6F" w:rsidRDefault="00F31057" w:rsidP="00426A6F">
      <w:pPr>
        <w:pStyle w:val="Prrafodelista"/>
        <w:spacing w:before="240" w:after="240" w:line="360" w:lineRule="auto"/>
        <w:ind w:left="0"/>
        <w:contextualSpacing/>
        <w:jc w:val="both"/>
      </w:pPr>
      <w:r w:rsidRPr="00426A6F">
        <w:lastRenderedPageBreak/>
        <w:t>El propósito d</w:t>
      </w:r>
      <w:r w:rsidR="001C25C2" w:rsidRPr="00426A6F">
        <w:t>e este trabajo es</w:t>
      </w:r>
      <w:r w:rsidRPr="00426A6F">
        <w:t xml:space="preserve"> comprobar que el Derecho de Acceso a la Información es un derecho humano, </w:t>
      </w:r>
      <w:r w:rsidR="00C52BA3" w:rsidRPr="00426A6F">
        <w:t>y por ello</w:t>
      </w:r>
      <w:r w:rsidRPr="00426A6F">
        <w:t xml:space="preserve"> </w:t>
      </w:r>
      <w:r w:rsidR="00C52BA3" w:rsidRPr="00426A6F">
        <w:t xml:space="preserve">primero </w:t>
      </w:r>
      <w:r w:rsidRPr="00426A6F">
        <w:t>definimos qu</w:t>
      </w:r>
      <w:r w:rsidR="00C52BA3" w:rsidRPr="00426A6F">
        <w:t>é</w:t>
      </w:r>
      <w:r w:rsidRPr="00426A6F">
        <w:t xml:space="preserve"> son los </w:t>
      </w:r>
      <w:r w:rsidR="00C52BA3" w:rsidRPr="00426A6F">
        <w:t>d</w:t>
      </w:r>
      <w:r w:rsidRPr="00426A6F">
        <w:t xml:space="preserve">erechos </w:t>
      </w:r>
      <w:r w:rsidR="00C52BA3" w:rsidRPr="00426A6F">
        <w:t>h</w:t>
      </w:r>
      <w:r w:rsidRPr="00426A6F">
        <w:t xml:space="preserve">umanos, después </w:t>
      </w:r>
      <w:r w:rsidR="00C52BA3" w:rsidRPr="00426A6F">
        <w:t xml:space="preserve">qué es </w:t>
      </w:r>
      <w:r w:rsidRPr="00426A6F">
        <w:t xml:space="preserve">el Derecho de Acceso a la Información </w:t>
      </w:r>
      <w:r w:rsidR="00C52BA3" w:rsidRPr="00426A6F">
        <w:t>P</w:t>
      </w:r>
      <w:r w:rsidRPr="00426A6F">
        <w:t>ública y</w:t>
      </w:r>
      <w:r w:rsidR="00C52BA3" w:rsidRPr="00426A6F">
        <w:t>,</w:t>
      </w:r>
      <w:r w:rsidRPr="00426A6F">
        <w:t xml:space="preserve"> por ú</w:t>
      </w:r>
      <w:r w:rsidR="00A75AE7" w:rsidRPr="00426A6F">
        <w:t>ltimo</w:t>
      </w:r>
      <w:r w:rsidR="00C52BA3" w:rsidRPr="00426A6F">
        <w:t>,</w:t>
      </w:r>
      <w:r w:rsidR="00A75AE7" w:rsidRPr="00426A6F">
        <w:t xml:space="preserve"> buscamos opiniones de la Corte I</w:t>
      </w:r>
      <w:r w:rsidRPr="00426A6F">
        <w:t>nteramericana de Derechos Humanos, jurisprudencia que aplica a nuestro sistema jurídico</w:t>
      </w:r>
      <w:r w:rsidR="00D926D5" w:rsidRPr="00426A6F">
        <w:t xml:space="preserve"> (Steiner, 2014)</w:t>
      </w:r>
      <w:r w:rsidRPr="00426A6F">
        <w:t>, sentencias que enume</w:t>
      </w:r>
      <w:r w:rsidR="00A75AE7" w:rsidRPr="00426A6F">
        <w:t>ramos</w:t>
      </w:r>
      <w:r w:rsidR="00C52BA3" w:rsidRPr="00426A6F">
        <w:t xml:space="preserve"> y</w:t>
      </w:r>
      <w:r w:rsidRPr="00426A6F">
        <w:t xml:space="preserve"> donde la Corte establece que en efecto el Derecho de Acceso a la Información es un derecho humano. </w:t>
      </w:r>
    </w:p>
    <w:p w:rsidR="00F31057" w:rsidRPr="00426A6F" w:rsidRDefault="00F31057" w:rsidP="00426A6F">
      <w:pPr>
        <w:pStyle w:val="Prrafodelista"/>
        <w:spacing w:before="240" w:after="240" w:line="360" w:lineRule="auto"/>
        <w:ind w:left="0"/>
        <w:contextualSpacing/>
        <w:jc w:val="both"/>
      </w:pPr>
      <w:r w:rsidRPr="00426A6F">
        <w:t>El agregar el DAI al catálogo de Derechos Humanos de nuestro país es un avance importante</w:t>
      </w:r>
      <w:r w:rsidR="008249CA" w:rsidRPr="00426A6F">
        <w:t>,</w:t>
      </w:r>
      <w:r w:rsidRPr="00426A6F">
        <w:t xml:space="preserve"> pues genera las obligaciones a las autoridades de promover, garantizar, respetar y proteger dicho derecho con los principios de interpretación confor</w:t>
      </w:r>
      <w:r w:rsidR="00A75AE7" w:rsidRPr="00426A6F">
        <w:t>me y pro-persona, obligando al E</w:t>
      </w:r>
      <w:r w:rsidRPr="00426A6F">
        <w:t xml:space="preserve">stado a sólo limitarlo cuando entra en conflicto con otro </w:t>
      </w:r>
      <w:r w:rsidR="008249CA" w:rsidRPr="00426A6F">
        <w:t>d</w:t>
      </w:r>
      <w:r w:rsidRPr="00426A6F">
        <w:t xml:space="preserve">erecho </w:t>
      </w:r>
      <w:r w:rsidR="008249CA" w:rsidRPr="00426A6F">
        <w:t>h</w:t>
      </w:r>
      <w:r w:rsidRPr="00426A6F">
        <w:t xml:space="preserve">umano y a crear las condiciones necesarias para que dicho derecho se ejerza. </w:t>
      </w:r>
    </w:p>
    <w:p w:rsidR="00F31057" w:rsidRPr="00426A6F" w:rsidRDefault="00F31057" w:rsidP="00426A6F">
      <w:pPr>
        <w:pStyle w:val="Prrafodelista"/>
        <w:spacing w:before="240" w:after="240" w:line="360" w:lineRule="auto"/>
        <w:ind w:left="0"/>
        <w:contextualSpacing/>
        <w:jc w:val="both"/>
      </w:pPr>
      <w:r w:rsidRPr="00426A6F">
        <w:t>El propósit</w:t>
      </w:r>
      <w:r w:rsidR="00A75AE7" w:rsidRPr="00426A6F">
        <w:t>o final de la investigación es</w:t>
      </w:r>
      <w:r w:rsidRPr="00426A6F">
        <w:t xml:space="preserve"> aplicar principios convencionales a los límites del Derecho de Acceso a la Información, en particular a la reserva temporal de la información por parte de la autoridad, con el fin de fortalecer este derecho y restringir el límite del mismo a los casos en los que sea estrictamente necesario y que cumplan con los requisitos que establece la Constitución y el Sistema Americano de Derechos Humanos. </w:t>
      </w:r>
    </w:p>
    <w:p w:rsidR="00F31057" w:rsidRPr="00426A6F" w:rsidRDefault="008C68D0" w:rsidP="00426A6F">
      <w:pPr>
        <w:pStyle w:val="Prrafodelista"/>
        <w:spacing w:before="240" w:after="240" w:line="360" w:lineRule="auto"/>
        <w:ind w:left="0"/>
        <w:contextualSpacing/>
        <w:jc w:val="both"/>
      </w:pPr>
      <w:r w:rsidRPr="00426A6F">
        <w:t>La sentencia de Claude Reyes y otros vs Chile</w:t>
      </w:r>
      <w:r w:rsidR="00A75AE7" w:rsidRPr="00426A6F">
        <w:t>,</w:t>
      </w:r>
      <w:r w:rsidRPr="00426A6F">
        <w:t xml:space="preserve"> es una parte importante para nuestro trabajo ya que nos ayudará a establecer los principios convencionales y la opinión de la Corte Interamericana sobre el DAI. </w:t>
      </w:r>
    </w:p>
    <w:p w:rsidR="00A75AE7" w:rsidRDefault="00A75AE7" w:rsidP="00426A6F">
      <w:pPr>
        <w:pStyle w:val="Prrafodelista"/>
        <w:spacing w:before="240" w:after="240" w:line="360" w:lineRule="auto"/>
        <w:ind w:left="0"/>
        <w:contextualSpacing/>
        <w:jc w:val="both"/>
        <w:rPr>
          <w:rFonts w:ascii="Arial" w:hAnsi="Arial" w:cs="Arial"/>
        </w:rPr>
      </w:pPr>
      <w:r w:rsidRPr="00426A6F">
        <w:t xml:space="preserve">Este estudio aporta un fundamento importante para considerar al Derecho de Acceso a la Información como un derecho fundamental que requiere de los principios rectores y obligaciones y deberes que conllevan. </w:t>
      </w:r>
      <w:r w:rsidR="0041480D" w:rsidRPr="00426A6F">
        <w:t>E</w:t>
      </w:r>
      <w:r w:rsidRPr="00426A6F">
        <w:t xml:space="preserve">l Estado, </w:t>
      </w:r>
      <w:r w:rsidR="0041480D" w:rsidRPr="00426A6F">
        <w:t>en</w:t>
      </w:r>
      <w:r w:rsidRPr="00426A6F">
        <w:t xml:space="preserve"> el caso de México, </w:t>
      </w:r>
      <w:r w:rsidR="0041480D" w:rsidRPr="00426A6F">
        <w:t xml:space="preserve">es </w:t>
      </w:r>
      <w:r w:rsidRPr="00426A6F">
        <w:t xml:space="preserve">el responsable de </w:t>
      </w:r>
      <w:r w:rsidR="0041480D" w:rsidRPr="00426A6F">
        <w:t>permitir</w:t>
      </w:r>
      <w:r w:rsidRPr="00426A6F">
        <w:t xml:space="preserve"> el acceso a la información pública</w:t>
      </w:r>
      <w:r w:rsidR="0041480D" w:rsidRPr="00426A6F">
        <w:t xml:space="preserve"> p</w:t>
      </w:r>
      <w:r w:rsidR="00B0203C" w:rsidRPr="00426A6F">
        <w:t>ara</w:t>
      </w:r>
      <w:r w:rsidRPr="00426A6F">
        <w:t xml:space="preserve"> todo habitante de los Estados Unidos Mexicanos, reservando aquella información que sea estrictamente necesaria para la seguridad nacional y la privada, </w:t>
      </w:r>
      <w:r w:rsidR="00B0203C" w:rsidRPr="00426A6F">
        <w:t xml:space="preserve">y </w:t>
      </w:r>
      <w:r w:rsidRPr="00426A6F">
        <w:t>con ello contribu</w:t>
      </w:r>
      <w:r w:rsidR="00B0203C" w:rsidRPr="00426A6F">
        <w:t>ir</w:t>
      </w:r>
      <w:r w:rsidRPr="00426A6F">
        <w:t xml:space="preserve"> a la consolidación de un estado de Derecho que permita el goce de los derechos fundamentales dentro del marco constitucional y convencional de los que México forma parte.</w:t>
      </w:r>
      <w:r>
        <w:rPr>
          <w:rFonts w:ascii="Arial" w:hAnsi="Arial" w:cs="Arial"/>
        </w:rPr>
        <w:t xml:space="preserve"> </w:t>
      </w:r>
    </w:p>
    <w:p w:rsidR="00D926D5" w:rsidRDefault="00D926D5" w:rsidP="00A75AE7">
      <w:pPr>
        <w:pStyle w:val="Prrafodelista"/>
        <w:spacing w:before="240" w:after="240" w:line="360" w:lineRule="auto"/>
        <w:ind w:left="0" w:firstLine="708"/>
        <w:contextualSpacing/>
        <w:jc w:val="both"/>
        <w:rPr>
          <w:rFonts w:ascii="Arial" w:hAnsi="Arial" w:cs="Arial"/>
        </w:rPr>
      </w:pPr>
    </w:p>
    <w:p w:rsidR="00D926D5" w:rsidRPr="00C1035B" w:rsidRDefault="00D926D5" w:rsidP="00A75AE7">
      <w:pPr>
        <w:pStyle w:val="Prrafodelista"/>
        <w:spacing w:before="240" w:after="240" w:line="360" w:lineRule="auto"/>
        <w:ind w:left="0" w:firstLine="708"/>
        <w:contextualSpacing/>
        <w:jc w:val="both"/>
        <w:rPr>
          <w:rFonts w:ascii="Arial" w:hAnsi="Arial" w:cs="Arial"/>
        </w:rPr>
      </w:pPr>
    </w:p>
    <w:p w:rsidR="00426A6F" w:rsidRDefault="00426A6F" w:rsidP="00442207">
      <w:pPr>
        <w:spacing w:after="200" w:line="360" w:lineRule="auto"/>
        <w:jc w:val="both"/>
        <w:rPr>
          <w:rFonts w:ascii="Calibri" w:hAnsi="Calibri" w:cs="Calibri"/>
          <w:color w:val="7030A0"/>
          <w:sz w:val="28"/>
          <w:szCs w:val="28"/>
        </w:rPr>
      </w:pPr>
    </w:p>
    <w:p w:rsidR="00953A53" w:rsidRPr="00426A6F" w:rsidRDefault="00426A6F" w:rsidP="00442207">
      <w:pPr>
        <w:spacing w:after="200" w:line="360" w:lineRule="auto"/>
        <w:jc w:val="both"/>
        <w:rPr>
          <w:rFonts w:ascii="Calibri" w:hAnsi="Calibri" w:cs="Calibri"/>
          <w:color w:val="7030A0"/>
          <w:sz w:val="28"/>
          <w:szCs w:val="28"/>
        </w:rPr>
      </w:pPr>
      <w:r w:rsidRPr="00426A6F">
        <w:rPr>
          <w:rFonts w:ascii="Calibri" w:hAnsi="Calibri" w:cs="Calibri"/>
          <w:color w:val="7030A0"/>
          <w:sz w:val="28"/>
          <w:szCs w:val="28"/>
        </w:rPr>
        <w:lastRenderedPageBreak/>
        <w:t>Bibliografía</w:t>
      </w:r>
    </w:p>
    <w:p w:rsidR="00D87ECE" w:rsidRPr="00426A6F" w:rsidRDefault="00D87ECE" w:rsidP="00225A5A">
      <w:pPr>
        <w:spacing w:line="360" w:lineRule="auto"/>
        <w:ind w:left="708" w:hanging="708"/>
        <w:jc w:val="both"/>
      </w:pPr>
      <w:r w:rsidRPr="00426A6F">
        <w:t xml:space="preserve">Bertoni E. y </w:t>
      </w:r>
      <w:proofErr w:type="spellStart"/>
      <w:r w:rsidRPr="00426A6F">
        <w:t>Zelada</w:t>
      </w:r>
      <w:proofErr w:type="spellEnd"/>
      <w:r w:rsidRPr="00426A6F">
        <w:t xml:space="preserve"> C. (2014). </w:t>
      </w:r>
      <w:r w:rsidRPr="00426A6F">
        <w:rPr>
          <w:i/>
        </w:rPr>
        <w:t>Artículo 13 Libertad de pensamiento y expresión, “Convención Americana sobre Derechos Humanos comentada”</w:t>
      </w:r>
      <w:r w:rsidRPr="00426A6F">
        <w:t>.</w:t>
      </w:r>
      <w:r w:rsidR="007E5599" w:rsidRPr="00426A6F">
        <w:t xml:space="preserve"> </w:t>
      </w:r>
      <w:r w:rsidRPr="00426A6F">
        <w:t>México: SCJN.</w:t>
      </w:r>
    </w:p>
    <w:p w:rsidR="000B02FB" w:rsidRPr="00426A6F" w:rsidRDefault="00953A53" w:rsidP="00225A5A">
      <w:pPr>
        <w:spacing w:line="360" w:lineRule="auto"/>
        <w:ind w:left="708" w:hanging="708"/>
        <w:jc w:val="both"/>
      </w:pPr>
      <w:r w:rsidRPr="00426A6F">
        <w:rPr>
          <w:lang w:val="es-MX"/>
        </w:rPr>
        <w:t>Carbonell, M.</w:t>
      </w:r>
      <w:r w:rsidR="000B02FB" w:rsidRPr="00426A6F">
        <w:rPr>
          <w:lang w:val="es-MX"/>
        </w:rPr>
        <w:t xml:space="preserve"> y Salazar, P</w:t>
      </w:r>
      <w:r w:rsidRPr="00426A6F">
        <w:rPr>
          <w:lang w:val="es-MX"/>
        </w:rPr>
        <w:t>.</w:t>
      </w:r>
      <w:r w:rsidR="00225A5A" w:rsidRPr="00426A6F">
        <w:rPr>
          <w:lang w:val="es-MX"/>
        </w:rPr>
        <w:t xml:space="preserve"> (coord.</w:t>
      </w:r>
      <w:r w:rsidR="000B02FB" w:rsidRPr="00426A6F">
        <w:rPr>
          <w:lang w:val="es-MX"/>
        </w:rPr>
        <w:t>)</w:t>
      </w:r>
      <w:r w:rsidRPr="00426A6F">
        <w:rPr>
          <w:lang w:val="es-MX"/>
        </w:rPr>
        <w:t xml:space="preserve">. (2012). </w:t>
      </w:r>
      <w:r w:rsidR="000B02FB" w:rsidRPr="00426A6F">
        <w:rPr>
          <w:i/>
          <w:lang w:val="es-MX"/>
        </w:rPr>
        <w:t>La reforma constitucional de derechos humanos: Un nuevo paradigma</w:t>
      </w:r>
      <w:r w:rsidRPr="00426A6F">
        <w:rPr>
          <w:i/>
          <w:lang w:val="es-MX"/>
        </w:rPr>
        <w:t>.</w:t>
      </w:r>
      <w:r w:rsidRPr="00426A6F">
        <w:rPr>
          <w:lang w:val="es-MX"/>
        </w:rPr>
        <w:t xml:space="preserve"> México: SCJN/IIJ/UNAM.</w:t>
      </w:r>
    </w:p>
    <w:p w:rsidR="000B02FB" w:rsidRPr="00426A6F" w:rsidRDefault="00953A53" w:rsidP="00225A5A">
      <w:pPr>
        <w:spacing w:line="360" w:lineRule="auto"/>
        <w:ind w:left="708" w:hanging="708"/>
        <w:jc w:val="both"/>
      </w:pPr>
      <w:r w:rsidRPr="00426A6F">
        <w:t>Carbonell, M. (</w:t>
      </w:r>
      <w:r w:rsidR="00423182" w:rsidRPr="00426A6F">
        <w:t xml:space="preserve">15 de abril de 2014). </w:t>
      </w:r>
      <w:r w:rsidR="000B02FB" w:rsidRPr="00426A6F">
        <w:t xml:space="preserve">28. </w:t>
      </w:r>
      <w:r w:rsidR="000B02FB" w:rsidRPr="00426A6F">
        <w:rPr>
          <w:i/>
        </w:rPr>
        <w:t>Los límites de los Derechos Humanos</w:t>
      </w:r>
      <w:r w:rsidR="00423182" w:rsidRPr="00426A6F">
        <w:rPr>
          <w:i/>
        </w:rPr>
        <w:t>.</w:t>
      </w:r>
      <w:r w:rsidR="007E5599" w:rsidRPr="00426A6F">
        <w:rPr>
          <w:i/>
        </w:rPr>
        <w:t xml:space="preserve"> </w:t>
      </w:r>
      <w:r w:rsidR="00423182" w:rsidRPr="00426A6F">
        <w:t>Recuperado de:https://www.youtube.com/watch?v=cSkZdtwRpLc&amp;index=28&amp;list=PL14tmFGP4Lr</w:t>
      </w:r>
      <w:r w:rsidR="000B02FB" w:rsidRPr="00426A6F">
        <w:t>0tMrMHoOjft7FWlEAI-vwo</w:t>
      </w:r>
      <w:r w:rsidR="00442207" w:rsidRPr="00426A6F">
        <w:t>. Consultado</w:t>
      </w:r>
      <w:r w:rsidR="007E5599" w:rsidRPr="00426A6F">
        <w:t xml:space="preserve"> </w:t>
      </w:r>
      <w:r w:rsidR="00442207" w:rsidRPr="00426A6F">
        <w:t>el 10 de mayo de 2016.</w:t>
      </w:r>
    </w:p>
    <w:p w:rsidR="00423182" w:rsidRPr="00426A6F" w:rsidRDefault="00423182" w:rsidP="00953A53">
      <w:pPr>
        <w:spacing w:line="360" w:lineRule="auto"/>
        <w:ind w:left="708" w:hanging="708"/>
        <w:jc w:val="both"/>
        <w:rPr>
          <w:lang w:val="es-MX"/>
        </w:rPr>
      </w:pPr>
      <w:r w:rsidRPr="00426A6F">
        <w:rPr>
          <w:lang w:val="es-MX"/>
        </w:rPr>
        <w:t xml:space="preserve">Carbonell, M. (2014). </w:t>
      </w:r>
      <w:r w:rsidR="000B02FB" w:rsidRPr="00426A6F">
        <w:rPr>
          <w:i/>
          <w:lang w:val="es-MX"/>
        </w:rPr>
        <w:t>Constitucionalismo y democracia. Ensayos críticos</w:t>
      </w:r>
      <w:r w:rsidRPr="00426A6F">
        <w:rPr>
          <w:i/>
          <w:lang w:val="es-MX"/>
        </w:rPr>
        <w:t xml:space="preserve">. </w:t>
      </w:r>
      <w:r w:rsidRPr="00426A6F">
        <w:rPr>
          <w:lang w:val="es-MX"/>
        </w:rPr>
        <w:t>México: Porrúa. Recuperado de http://www.miguelcarbonell.com/articulos/Globalizaci_n_</w:t>
      </w:r>
    </w:p>
    <w:p w:rsidR="000B02FB" w:rsidRPr="00426A6F" w:rsidRDefault="00423182" w:rsidP="00225A5A">
      <w:pPr>
        <w:spacing w:line="360" w:lineRule="auto"/>
        <w:ind w:left="708" w:firstLine="1"/>
        <w:jc w:val="both"/>
      </w:pPr>
      <w:r w:rsidRPr="00426A6F">
        <w:rPr>
          <w:lang w:val="es-MX"/>
        </w:rPr>
        <w:t>y_</w:t>
      </w:r>
      <w:r w:rsidR="000B02FB" w:rsidRPr="00426A6F">
        <w:rPr>
          <w:lang w:val="es-MX"/>
        </w:rPr>
        <w:t>derecho.shtml</w:t>
      </w:r>
      <w:r w:rsidR="00442207" w:rsidRPr="00426A6F">
        <w:rPr>
          <w:lang w:val="es-MX"/>
        </w:rPr>
        <w:t xml:space="preserve">. </w:t>
      </w:r>
      <w:r w:rsidR="00442207" w:rsidRPr="00426A6F">
        <w:t>Consultado</w:t>
      </w:r>
      <w:r w:rsidR="007E5599" w:rsidRPr="00426A6F">
        <w:t xml:space="preserve"> </w:t>
      </w:r>
      <w:r w:rsidR="00442207" w:rsidRPr="00426A6F">
        <w:t>el 12 de mayo de 2016.</w:t>
      </w:r>
    </w:p>
    <w:p w:rsidR="000B02FB" w:rsidRPr="00426A6F" w:rsidRDefault="000B02FB" w:rsidP="00225A5A">
      <w:pPr>
        <w:spacing w:line="360" w:lineRule="auto"/>
        <w:ind w:left="708" w:hanging="708"/>
        <w:jc w:val="both"/>
      </w:pPr>
      <w:r w:rsidRPr="00426A6F">
        <w:t xml:space="preserve">Castellanos </w:t>
      </w:r>
      <w:proofErr w:type="spellStart"/>
      <w:r w:rsidRPr="00426A6F">
        <w:t>Gout</w:t>
      </w:r>
      <w:proofErr w:type="spellEnd"/>
      <w:r w:rsidRPr="00426A6F">
        <w:t xml:space="preserve">, </w:t>
      </w:r>
      <w:r w:rsidR="00423182" w:rsidRPr="00426A6F">
        <w:t>M.</w:t>
      </w:r>
      <w:r w:rsidRPr="00426A6F">
        <w:t xml:space="preserve"> E</w:t>
      </w:r>
      <w:r w:rsidR="00423182" w:rsidRPr="00426A6F">
        <w:t xml:space="preserve">. (2004). </w:t>
      </w:r>
      <w:r w:rsidRPr="00426A6F">
        <w:rPr>
          <w:i/>
        </w:rPr>
        <w:t>Del Estado de Derecho al Estado de Justicia</w:t>
      </w:r>
      <w:r w:rsidRPr="00426A6F">
        <w:t xml:space="preserve">, </w:t>
      </w:r>
      <w:r w:rsidR="00423182" w:rsidRPr="00426A6F">
        <w:t>México: Porrúa.</w:t>
      </w:r>
    </w:p>
    <w:p w:rsidR="000B02FB" w:rsidRPr="00426A6F" w:rsidRDefault="00423182" w:rsidP="00225A5A">
      <w:pPr>
        <w:spacing w:line="360" w:lineRule="auto"/>
        <w:ind w:left="708" w:hanging="708"/>
        <w:jc w:val="both"/>
      </w:pPr>
      <w:r w:rsidRPr="00426A6F">
        <w:t xml:space="preserve">Castro Vizcarra, L. C. (2014). </w:t>
      </w:r>
      <w:r w:rsidRPr="00426A6F">
        <w:rPr>
          <w:i/>
        </w:rPr>
        <w:t>T</w:t>
      </w:r>
      <w:r w:rsidR="000B02FB" w:rsidRPr="00426A6F">
        <w:rPr>
          <w:i/>
        </w:rPr>
        <w:t>ransparenci</w:t>
      </w:r>
      <w:r w:rsidRPr="00426A6F">
        <w:rPr>
          <w:i/>
        </w:rPr>
        <w:t>a en las Universidades Autónomas</w:t>
      </w:r>
      <w:r w:rsidR="000B02FB" w:rsidRPr="00426A6F">
        <w:rPr>
          <w:i/>
        </w:rPr>
        <w:t>, Autonomía y auditoría universitarias</w:t>
      </w:r>
      <w:r w:rsidRPr="00426A6F">
        <w:rPr>
          <w:i/>
        </w:rPr>
        <w:t xml:space="preserve">. </w:t>
      </w:r>
      <w:r w:rsidRPr="00426A6F">
        <w:t>México:</w:t>
      </w:r>
      <w:r w:rsidR="000B02FB" w:rsidRPr="00426A6F">
        <w:t xml:space="preserve"> UABC. </w:t>
      </w:r>
    </w:p>
    <w:p w:rsidR="00D87ECE" w:rsidRPr="00426A6F" w:rsidRDefault="00D87ECE" w:rsidP="00225A5A">
      <w:pPr>
        <w:spacing w:line="360" w:lineRule="auto"/>
        <w:ind w:left="708" w:hanging="708"/>
        <w:jc w:val="both"/>
      </w:pPr>
      <w:r w:rsidRPr="00426A6F">
        <w:t>Corte Interamericana de Derechos Humanos</w:t>
      </w:r>
      <w:r w:rsidR="00851B56" w:rsidRPr="00426A6F">
        <w:t xml:space="preserve"> (2008)</w:t>
      </w:r>
      <w:r w:rsidRPr="00426A6F">
        <w:t>. "Ficha Técnica: Claude Reyes y otros vs. Chile</w:t>
      </w:r>
      <w:r w:rsidR="00851B56" w:rsidRPr="00426A6F">
        <w:t xml:space="preserve">". www.corteidh.or.cr/tablas/fichas/claudereyes.pdf </w:t>
      </w:r>
    </w:p>
    <w:p w:rsidR="000B02FB" w:rsidRPr="00426A6F" w:rsidRDefault="00423182" w:rsidP="00D926D5">
      <w:pPr>
        <w:spacing w:line="360" w:lineRule="auto"/>
        <w:ind w:left="708" w:hanging="708"/>
        <w:jc w:val="both"/>
      </w:pPr>
      <w:r w:rsidRPr="00426A6F">
        <w:rPr>
          <w:lang w:val="en-US"/>
        </w:rPr>
        <w:t>Freedman, T</w:t>
      </w:r>
      <w:r w:rsidR="00D926D5" w:rsidRPr="00426A6F">
        <w:rPr>
          <w:lang w:val="en-US"/>
        </w:rPr>
        <w:t>homas</w:t>
      </w:r>
      <w:r w:rsidR="000B02FB" w:rsidRPr="00426A6F">
        <w:rPr>
          <w:lang w:val="en-US"/>
        </w:rPr>
        <w:t xml:space="preserve">. </w:t>
      </w:r>
      <w:r w:rsidRPr="00426A6F">
        <w:rPr>
          <w:lang w:val="en-US"/>
        </w:rPr>
        <w:t>(</w:t>
      </w:r>
      <w:r w:rsidR="00D926D5" w:rsidRPr="00426A6F">
        <w:rPr>
          <w:lang w:val="en-US"/>
        </w:rPr>
        <w:t>2005</w:t>
      </w:r>
      <w:r w:rsidRPr="00426A6F">
        <w:rPr>
          <w:lang w:val="en-US"/>
        </w:rPr>
        <w:t>).</w:t>
      </w:r>
      <w:r w:rsidR="00D926D5" w:rsidRPr="00426A6F">
        <w:rPr>
          <w:lang w:val="en-US"/>
        </w:rPr>
        <w:t xml:space="preserve"> </w:t>
      </w:r>
      <w:r w:rsidR="000B02FB" w:rsidRPr="00426A6F">
        <w:rPr>
          <w:lang w:val="en-US"/>
        </w:rPr>
        <w:t xml:space="preserve">"The World is </w:t>
      </w:r>
      <w:proofErr w:type="gramStart"/>
      <w:r w:rsidR="000B02FB" w:rsidRPr="00426A6F">
        <w:rPr>
          <w:lang w:val="en-US"/>
        </w:rPr>
        <w:t>Flat</w:t>
      </w:r>
      <w:proofErr w:type="gramEnd"/>
      <w:r w:rsidR="000B02FB" w:rsidRPr="00426A6F">
        <w:rPr>
          <w:lang w:val="en-US"/>
        </w:rPr>
        <w:t xml:space="preserve">: A Brief History of the Twenty-First Century". </w:t>
      </w:r>
      <w:proofErr w:type="spellStart"/>
      <w:r w:rsidR="000B02FB" w:rsidRPr="00426A6F">
        <w:rPr>
          <w:lang w:val="es-MX"/>
        </w:rPr>
        <w:t>Farrar</w:t>
      </w:r>
      <w:proofErr w:type="spellEnd"/>
      <w:r w:rsidR="000B02FB" w:rsidRPr="00426A6F">
        <w:rPr>
          <w:lang w:val="es-MX"/>
        </w:rPr>
        <w:t xml:space="preserve">, </w:t>
      </w:r>
      <w:proofErr w:type="spellStart"/>
      <w:r w:rsidR="000B02FB" w:rsidRPr="00426A6F">
        <w:rPr>
          <w:lang w:val="es-MX"/>
        </w:rPr>
        <w:t>Straus</w:t>
      </w:r>
      <w:proofErr w:type="spellEnd"/>
      <w:r w:rsidR="000B02FB" w:rsidRPr="00426A6F">
        <w:rPr>
          <w:lang w:val="es-MX"/>
        </w:rPr>
        <w:t xml:space="preserve"> and </w:t>
      </w:r>
      <w:proofErr w:type="spellStart"/>
      <w:r w:rsidR="000B02FB" w:rsidRPr="00426A6F">
        <w:rPr>
          <w:lang w:val="es-MX"/>
        </w:rPr>
        <w:t>Giroux</w:t>
      </w:r>
      <w:proofErr w:type="spellEnd"/>
      <w:r w:rsidR="000B02FB" w:rsidRPr="00426A6F">
        <w:rPr>
          <w:lang w:val="es-MX"/>
        </w:rPr>
        <w:t>, Estados Unidos</w:t>
      </w:r>
      <w:r w:rsidRPr="00426A6F">
        <w:rPr>
          <w:lang w:val="es-MX"/>
        </w:rPr>
        <w:t xml:space="preserve">. </w:t>
      </w:r>
    </w:p>
    <w:p w:rsidR="000B02FB" w:rsidRPr="00426A6F" w:rsidRDefault="000B02FB" w:rsidP="00225A5A">
      <w:pPr>
        <w:spacing w:line="360" w:lineRule="auto"/>
        <w:ind w:left="708" w:hanging="708"/>
        <w:jc w:val="both"/>
      </w:pPr>
      <w:r w:rsidRPr="00426A6F">
        <w:t xml:space="preserve">Instituto de Transparencia y Acceso a la Información Pública de Baja California. </w:t>
      </w:r>
      <w:r w:rsidR="00D926D5" w:rsidRPr="00426A6F">
        <w:t xml:space="preserve">(2014). Reporte de Recursos de 2014. </w:t>
      </w:r>
      <w:r w:rsidR="006D4884" w:rsidRPr="00426A6F">
        <w:t>Recuperado de http://www.itaipbc.org.mx/index.php/transparencia/art21fracciperi</w:t>
      </w:r>
      <w:r w:rsidRPr="00426A6F">
        <w:t>odo/</w:t>
      </w:r>
    </w:p>
    <w:p w:rsidR="000B02FB" w:rsidRPr="00426A6F" w:rsidRDefault="006D4884" w:rsidP="00225A5A">
      <w:pPr>
        <w:spacing w:line="360" w:lineRule="auto"/>
        <w:ind w:left="708" w:hanging="708"/>
        <w:jc w:val="both"/>
        <w:rPr>
          <w:lang w:val="es-MX"/>
        </w:rPr>
      </w:pPr>
      <w:r w:rsidRPr="00426A6F">
        <w:rPr>
          <w:lang w:val="es-MX"/>
        </w:rPr>
        <w:t xml:space="preserve">Kaplan, M. (2002). </w:t>
      </w:r>
      <w:r w:rsidR="000B02FB" w:rsidRPr="00426A6F">
        <w:rPr>
          <w:lang w:val="es-MX"/>
        </w:rPr>
        <w:t>El sistema internacional: límites, paradojas y posibilidades</w:t>
      </w:r>
      <w:r w:rsidRPr="00426A6F">
        <w:rPr>
          <w:lang w:val="es-MX"/>
        </w:rPr>
        <w:t>. E</w:t>
      </w:r>
      <w:r w:rsidR="000B02FB" w:rsidRPr="00426A6F">
        <w:rPr>
          <w:lang w:val="es-MX"/>
        </w:rPr>
        <w:t xml:space="preserve">n </w:t>
      </w:r>
      <w:r w:rsidRPr="00426A6F">
        <w:rPr>
          <w:lang w:val="es-MX"/>
        </w:rPr>
        <w:t>J. L. Valdés Ugalde</w:t>
      </w:r>
      <w:r w:rsidR="000B02FB" w:rsidRPr="00426A6F">
        <w:rPr>
          <w:lang w:val="es-MX"/>
        </w:rPr>
        <w:t xml:space="preserve"> y </w:t>
      </w:r>
      <w:r w:rsidRPr="00426A6F">
        <w:rPr>
          <w:lang w:val="es-MX"/>
        </w:rPr>
        <w:t xml:space="preserve">D. </w:t>
      </w:r>
      <w:proofErr w:type="spellStart"/>
      <w:r w:rsidRPr="00426A6F">
        <w:rPr>
          <w:lang w:val="es-MX"/>
        </w:rPr>
        <w:t>Valadés</w:t>
      </w:r>
      <w:proofErr w:type="spellEnd"/>
      <w:r w:rsidR="00442207" w:rsidRPr="00426A6F">
        <w:rPr>
          <w:lang w:val="es-MX"/>
        </w:rPr>
        <w:t xml:space="preserve"> (coord</w:t>
      </w:r>
      <w:r w:rsidR="000B02FB" w:rsidRPr="00426A6F">
        <w:rPr>
          <w:lang w:val="es-MX"/>
        </w:rPr>
        <w:t xml:space="preserve">.), </w:t>
      </w:r>
      <w:r w:rsidR="000B02FB" w:rsidRPr="00426A6F">
        <w:rPr>
          <w:i/>
          <w:lang w:val="es-MX"/>
        </w:rPr>
        <w:t>Globalidad y conflicto. Estados Unidos y la crisis de septiembre</w:t>
      </w:r>
      <w:r w:rsidRPr="00426A6F">
        <w:rPr>
          <w:i/>
          <w:lang w:val="es-MX"/>
        </w:rPr>
        <w:t xml:space="preserve">. </w:t>
      </w:r>
      <w:r w:rsidRPr="00426A6F">
        <w:rPr>
          <w:lang w:val="es-MX"/>
        </w:rPr>
        <w:t>México: CISAN, UNAM, IIJ.</w:t>
      </w:r>
    </w:p>
    <w:p w:rsidR="00851B56" w:rsidRPr="00426A6F" w:rsidRDefault="00851B56" w:rsidP="00851B56">
      <w:pPr>
        <w:spacing w:line="360" w:lineRule="auto"/>
        <w:ind w:left="708" w:hanging="708"/>
        <w:jc w:val="both"/>
      </w:pPr>
      <w:r w:rsidRPr="00426A6F">
        <w:t>Olmedo Bustos, Juan Pablo (2006). "Condenan a Chile por negar acceso a información pública". Recuperado de: América Latina en Movimiento.  http://www.alainet.org/es/active/13862. Consultado</w:t>
      </w:r>
      <w:r w:rsidR="007E5599" w:rsidRPr="00426A6F">
        <w:t xml:space="preserve"> </w:t>
      </w:r>
      <w:r w:rsidRPr="00426A6F">
        <w:t>el 23 de mayo de 2016.</w:t>
      </w:r>
    </w:p>
    <w:p w:rsidR="000B02FB" w:rsidRPr="00426A6F" w:rsidRDefault="000B02FB" w:rsidP="00225A5A">
      <w:pPr>
        <w:spacing w:line="360" w:lineRule="auto"/>
        <w:ind w:left="708" w:hanging="708"/>
        <w:jc w:val="both"/>
      </w:pPr>
      <w:r w:rsidRPr="00426A6F">
        <w:t>Relatoría Especial para la Libertad de Expresión de la Comisión Interamericana de Derechos Humanos</w:t>
      </w:r>
      <w:r w:rsidR="00D926D5" w:rsidRPr="00426A6F">
        <w:t xml:space="preserve"> (2012)</w:t>
      </w:r>
      <w:r w:rsidR="007E5599" w:rsidRPr="00426A6F">
        <w:t>.</w:t>
      </w:r>
      <w:r w:rsidRPr="00426A6F">
        <w:t xml:space="preserve"> “El Dere</w:t>
      </w:r>
      <w:r w:rsidR="00D87ECE" w:rsidRPr="00426A6F">
        <w:t xml:space="preserve">cho de Acceso a la Información </w:t>
      </w:r>
      <w:r w:rsidRPr="00426A6F">
        <w:t>en el Marco Jurídico Interamericano”, Comisión Interamericana de Der</w:t>
      </w:r>
      <w:r w:rsidR="00442207" w:rsidRPr="00426A6F">
        <w:t xml:space="preserve">echos Humanos, 2ª </w:t>
      </w:r>
      <w:r w:rsidR="007E5599" w:rsidRPr="00426A6F">
        <w:t>e</w:t>
      </w:r>
      <w:r w:rsidR="00D926D5" w:rsidRPr="00426A6F">
        <w:t>dición.</w:t>
      </w:r>
    </w:p>
    <w:p w:rsidR="000B02FB" w:rsidRPr="00426A6F" w:rsidRDefault="00225A5A" w:rsidP="00225A5A">
      <w:pPr>
        <w:spacing w:line="360" w:lineRule="auto"/>
        <w:ind w:left="708" w:hanging="708"/>
        <w:jc w:val="both"/>
      </w:pPr>
      <w:r w:rsidRPr="00426A6F">
        <w:lastRenderedPageBreak/>
        <w:t>Steiner C. y Uribe P. (coord.</w:t>
      </w:r>
      <w:r w:rsidR="000B02FB" w:rsidRPr="00426A6F">
        <w:t>)</w:t>
      </w:r>
      <w:r w:rsidR="006D4884" w:rsidRPr="00426A6F">
        <w:t xml:space="preserve">. (2014). </w:t>
      </w:r>
      <w:r w:rsidR="000B02FB" w:rsidRPr="00426A6F">
        <w:rPr>
          <w:i/>
        </w:rPr>
        <w:t>Convención Americana sobre Derechos Humanos comentada</w:t>
      </w:r>
      <w:r w:rsidR="006D4884" w:rsidRPr="00426A6F">
        <w:rPr>
          <w:i/>
        </w:rPr>
        <w:t xml:space="preserve">. </w:t>
      </w:r>
      <w:r w:rsidR="006D4884" w:rsidRPr="00426A6F">
        <w:t>México: SCJN.</w:t>
      </w:r>
    </w:p>
    <w:p w:rsidR="000B02FB" w:rsidRPr="00426A6F" w:rsidRDefault="006D4884" w:rsidP="00225A5A">
      <w:pPr>
        <w:pStyle w:val="Textonotapie"/>
        <w:spacing w:line="360" w:lineRule="auto"/>
        <w:ind w:left="708" w:hanging="708"/>
        <w:jc w:val="both"/>
        <w:rPr>
          <w:sz w:val="24"/>
          <w:szCs w:val="24"/>
          <w:lang w:val="es-MX"/>
        </w:rPr>
      </w:pPr>
      <w:r w:rsidRPr="00426A6F">
        <w:rPr>
          <w:sz w:val="24"/>
          <w:szCs w:val="24"/>
          <w:lang w:val="es-MX"/>
        </w:rPr>
        <w:t>Vázquez, L. D. y Serrano, S</w:t>
      </w:r>
      <w:r w:rsidR="000B02FB" w:rsidRPr="00426A6F">
        <w:rPr>
          <w:sz w:val="24"/>
          <w:szCs w:val="24"/>
          <w:lang w:val="es-MX"/>
        </w:rPr>
        <w:t>.</w:t>
      </w:r>
      <w:r w:rsidR="00442207" w:rsidRPr="00426A6F">
        <w:rPr>
          <w:sz w:val="24"/>
          <w:szCs w:val="24"/>
          <w:lang w:val="es-MX"/>
        </w:rPr>
        <w:t xml:space="preserve"> (2013</w:t>
      </w:r>
      <w:r w:rsidRPr="00426A6F">
        <w:rPr>
          <w:sz w:val="24"/>
          <w:szCs w:val="24"/>
          <w:lang w:val="es-MX"/>
        </w:rPr>
        <w:t xml:space="preserve">). </w:t>
      </w:r>
      <w:r w:rsidR="000B02FB" w:rsidRPr="00426A6F">
        <w:rPr>
          <w:i/>
          <w:sz w:val="24"/>
          <w:szCs w:val="24"/>
          <w:lang w:val="es-MX"/>
        </w:rPr>
        <w:t>Los principios de universalidad, interdependencia, indivisibilidad y progresividad. Apuntes para su aplicación práctica</w:t>
      </w:r>
      <w:r w:rsidR="00442207" w:rsidRPr="00426A6F">
        <w:rPr>
          <w:i/>
          <w:sz w:val="24"/>
          <w:szCs w:val="24"/>
          <w:lang w:val="es-MX"/>
        </w:rPr>
        <w:t xml:space="preserve">. </w:t>
      </w:r>
      <w:r w:rsidR="00442207" w:rsidRPr="00426A6F">
        <w:rPr>
          <w:sz w:val="24"/>
          <w:szCs w:val="24"/>
          <w:lang w:val="es-MX"/>
        </w:rPr>
        <w:t>México: Porrúa</w:t>
      </w:r>
      <w:r w:rsidRPr="00426A6F">
        <w:rPr>
          <w:sz w:val="24"/>
          <w:szCs w:val="24"/>
          <w:lang w:val="es-MX"/>
        </w:rPr>
        <w:t>.</w:t>
      </w:r>
    </w:p>
    <w:p w:rsidR="000B02FB" w:rsidRPr="00C1035B" w:rsidRDefault="006D4884" w:rsidP="00953A53">
      <w:pPr>
        <w:spacing w:line="360" w:lineRule="auto"/>
        <w:ind w:left="708" w:hanging="708"/>
        <w:jc w:val="both"/>
        <w:rPr>
          <w:rFonts w:ascii="Arial" w:hAnsi="Arial" w:cs="Arial"/>
        </w:rPr>
      </w:pPr>
      <w:proofErr w:type="spellStart"/>
      <w:r w:rsidRPr="00426A6F">
        <w:t>Zweigert</w:t>
      </w:r>
      <w:proofErr w:type="spellEnd"/>
      <w:r w:rsidRPr="00426A6F">
        <w:t xml:space="preserve">, K. y </w:t>
      </w:r>
      <w:proofErr w:type="spellStart"/>
      <w:r w:rsidRPr="00426A6F">
        <w:t>Kotz</w:t>
      </w:r>
      <w:proofErr w:type="spellEnd"/>
      <w:r w:rsidRPr="00426A6F">
        <w:t>, H</w:t>
      </w:r>
      <w:r w:rsidR="000B02FB" w:rsidRPr="00426A6F">
        <w:t xml:space="preserve">. </w:t>
      </w:r>
      <w:r w:rsidRPr="00426A6F">
        <w:t>(</w:t>
      </w:r>
      <w:r w:rsidR="000B02FB" w:rsidRPr="00426A6F">
        <w:t>2002</w:t>
      </w:r>
      <w:r w:rsidRPr="00426A6F">
        <w:t>)</w:t>
      </w:r>
      <w:r w:rsidR="000B02FB" w:rsidRPr="00426A6F">
        <w:t xml:space="preserve">. </w:t>
      </w:r>
      <w:r w:rsidR="000B02FB" w:rsidRPr="00426A6F">
        <w:rPr>
          <w:i/>
        </w:rPr>
        <w:t>Introducción al derecho comparado</w:t>
      </w:r>
      <w:r w:rsidR="000B02FB" w:rsidRPr="00426A6F">
        <w:t xml:space="preserve">. </w:t>
      </w:r>
      <w:r w:rsidR="000B02FB" w:rsidRPr="00426A6F">
        <w:rPr>
          <w:lang w:val="es-MX"/>
        </w:rPr>
        <w:t xml:space="preserve">México: Oxford </w:t>
      </w:r>
      <w:proofErr w:type="spellStart"/>
      <w:r w:rsidR="000B02FB" w:rsidRPr="00426A6F">
        <w:rPr>
          <w:lang w:val="es-MX"/>
        </w:rPr>
        <w:t>University</w:t>
      </w:r>
      <w:proofErr w:type="spellEnd"/>
      <w:r w:rsidR="007E5599" w:rsidRPr="00426A6F">
        <w:rPr>
          <w:lang w:val="es-MX"/>
        </w:rPr>
        <w:t xml:space="preserve"> </w:t>
      </w:r>
      <w:proofErr w:type="spellStart"/>
      <w:r w:rsidR="000B02FB" w:rsidRPr="00426A6F">
        <w:rPr>
          <w:lang w:val="es-MX"/>
        </w:rPr>
        <w:t>Press</w:t>
      </w:r>
      <w:proofErr w:type="spellEnd"/>
      <w:r w:rsidR="0082185F" w:rsidRPr="00426A6F">
        <w:rPr>
          <w:lang w:val="es-MX"/>
        </w:rPr>
        <w:t>.</w:t>
      </w:r>
    </w:p>
    <w:p w:rsidR="007D27C2" w:rsidRDefault="007D27C2" w:rsidP="00953A53">
      <w:pPr>
        <w:spacing w:line="360" w:lineRule="auto"/>
        <w:ind w:left="708" w:hanging="708"/>
        <w:jc w:val="both"/>
        <w:rPr>
          <w:rFonts w:ascii="Arial" w:hAnsi="Arial" w:cs="Arial"/>
          <w:lang w:val="es-MX"/>
        </w:rPr>
      </w:pPr>
    </w:p>
    <w:p w:rsidR="00D926D5" w:rsidRPr="00D926D5" w:rsidRDefault="002B305F" w:rsidP="00953A53">
      <w:pPr>
        <w:spacing w:line="360" w:lineRule="auto"/>
        <w:ind w:left="708" w:hanging="708"/>
        <w:jc w:val="both"/>
        <w:rPr>
          <w:rFonts w:ascii="Arial" w:hAnsi="Arial" w:cs="Arial"/>
          <w:b/>
          <w:lang w:val="es-MX"/>
        </w:rPr>
      </w:pPr>
      <w:r>
        <w:rPr>
          <w:rFonts w:ascii="Arial" w:hAnsi="Arial" w:cs="Arial"/>
          <w:b/>
          <w:lang w:val="es-MX"/>
        </w:rPr>
        <w:t>REFERENCIAS</w:t>
      </w:r>
      <w:r w:rsidR="00D926D5" w:rsidRPr="00D926D5">
        <w:rPr>
          <w:rFonts w:ascii="Arial" w:hAnsi="Arial" w:cs="Arial"/>
          <w:b/>
          <w:lang w:val="es-MX"/>
        </w:rPr>
        <w:t xml:space="preserve"> NORMATIVAS</w:t>
      </w:r>
    </w:p>
    <w:p w:rsidR="00D926D5" w:rsidRDefault="00D926D5" w:rsidP="00953A53">
      <w:pPr>
        <w:spacing w:line="360" w:lineRule="auto"/>
        <w:ind w:left="708" w:hanging="708"/>
        <w:jc w:val="both"/>
        <w:rPr>
          <w:rFonts w:ascii="Arial" w:hAnsi="Arial" w:cs="Arial"/>
          <w:lang w:val="es-MX"/>
        </w:rPr>
      </w:pPr>
    </w:p>
    <w:p w:rsidR="00D926D5" w:rsidRPr="00D926D5" w:rsidRDefault="00D926D5" w:rsidP="00D926D5">
      <w:pPr>
        <w:pStyle w:val="Textonotapie"/>
        <w:spacing w:line="360" w:lineRule="auto"/>
        <w:ind w:left="708" w:hanging="708"/>
        <w:jc w:val="both"/>
        <w:rPr>
          <w:rFonts w:ascii="Arial" w:hAnsi="Arial" w:cs="Arial"/>
          <w:sz w:val="24"/>
          <w:szCs w:val="24"/>
        </w:rPr>
      </w:pPr>
      <w:r>
        <w:rPr>
          <w:rFonts w:ascii="Arial" w:hAnsi="Arial" w:cs="Arial"/>
          <w:sz w:val="24"/>
          <w:szCs w:val="24"/>
        </w:rPr>
        <w:tab/>
      </w:r>
      <w:r w:rsidRPr="00D926D5">
        <w:rPr>
          <w:rFonts w:ascii="Arial" w:hAnsi="Arial" w:cs="Arial"/>
          <w:sz w:val="24"/>
          <w:szCs w:val="24"/>
        </w:rPr>
        <w:t>Constitución Política de los Estados Unidos Mexicanos (1917).</w:t>
      </w:r>
    </w:p>
    <w:p w:rsidR="00D926D5" w:rsidRPr="00D926D5" w:rsidRDefault="00D926D5" w:rsidP="00D926D5">
      <w:pPr>
        <w:pStyle w:val="Textonotapie"/>
        <w:spacing w:line="360" w:lineRule="auto"/>
        <w:ind w:left="708" w:hanging="708"/>
        <w:jc w:val="both"/>
        <w:rPr>
          <w:rFonts w:ascii="Arial" w:hAnsi="Arial" w:cs="Arial"/>
          <w:sz w:val="24"/>
          <w:szCs w:val="24"/>
        </w:rPr>
      </w:pPr>
      <w:r>
        <w:rPr>
          <w:rFonts w:ascii="Arial" w:hAnsi="Arial" w:cs="Arial"/>
          <w:sz w:val="24"/>
          <w:szCs w:val="24"/>
          <w:lang w:val="es-MX"/>
        </w:rPr>
        <w:tab/>
      </w:r>
      <w:r w:rsidRPr="00D926D5">
        <w:rPr>
          <w:rFonts w:ascii="Arial" w:hAnsi="Arial" w:cs="Arial"/>
          <w:sz w:val="24"/>
          <w:szCs w:val="24"/>
          <w:lang w:val="es-MX"/>
        </w:rPr>
        <w:t xml:space="preserve">Convención Americana sobre Derechos Humanos (1969). </w:t>
      </w:r>
    </w:p>
    <w:p w:rsidR="00D926D5" w:rsidRDefault="00D926D5" w:rsidP="00D926D5">
      <w:pPr>
        <w:pStyle w:val="Textonotapie"/>
        <w:spacing w:line="360" w:lineRule="auto"/>
        <w:ind w:left="708" w:hanging="708"/>
        <w:jc w:val="both"/>
        <w:rPr>
          <w:rFonts w:ascii="Arial" w:hAnsi="Arial" w:cs="Arial"/>
          <w:sz w:val="24"/>
          <w:szCs w:val="24"/>
          <w:lang w:val="es-MX"/>
        </w:rPr>
      </w:pPr>
      <w:r>
        <w:rPr>
          <w:rFonts w:ascii="Arial" w:hAnsi="Arial" w:cs="Arial"/>
          <w:sz w:val="24"/>
          <w:szCs w:val="24"/>
          <w:lang w:val="es-MX"/>
        </w:rPr>
        <w:tab/>
      </w:r>
      <w:r w:rsidRPr="00D926D5">
        <w:rPr>
          <w:rFonts w:ascii="Arial" w:hAnsi="Arial" w:cs="Arial"/>
          <w:sz w:val="24"/>
          <w:szCs w:val="24"/>
          <w:lang w:val="es-MX"/>
        </w:rPr>
        <w:t>Declaración Universal de los Derechos Humanos (1948).</w:t>
      </w:r>
      <w:r>
        <w:rPr>
          <w:rFonts w:ascii="Arial" w:hAnsi="Arial" w:cs="Arial"/>
          <w:sz w:val="24"/>
          <w:szCs w:val="24"/>
          <w:lang w:val="es-MX"/>
        </w:rPr>
        <w:t xml:space="preserve"> </w:t>
      </w:r>
    </w:p>
    <w:p w:rsidR="00D926D5" w:rsidRPr="00851B56" w:rsidRDefault="00D926D5" w:rsidP="00D926D5">
      <w:pPr>
        <w:pStyle w:val="Textonotapie"/>
        <w:spacing w:line="360" w:lineRule="auto"/>
        <w:ind w:left="708" w:hanging="708"/>
        <w:jc w:val="both"/>
        <w:rPr>
          <w:rFonts w:ascii="Arial" w:hAnsi="Arial" w:cs="Arial"/>
          <w:sz w:val="24"/>
          <w:szCs w:val="24"/>
          <w:lang w:val="es-MX"/>
        </w:rPr>
      </w:pPr>
      <w:r>
        <w:rPr>
          <w:rFonts w:ascii="Arial" w:hAnsi="Arial" w:cs="Arial"/>
          <w:sz w:val="24"/>
          <w:szCs w:val="24"/>
          <w:lang w:val="es-MX"/>
        </w:rPr>
        <w:tab/>
      </w:r>
      <w:r w:rsidRPr="00851B56">
        <w:rPr>
          <w:rFonts w:ascii="Arial" w:hAnsi="Arial" w:cs="Arial"/>
          <w:sz w:val="24"/>
          <w:szCs w:val="24"/>
          <w:lang w:val="es-MX"/>
        </w:rPr>
        <w:t>Ley Federal de Transparencia y Acceso a la Información Pública Gubernamental</w:t>
      </w:r>
      <w:r>
        <w:rPr>
          <w:rFonts w:ascii="Arial" w:hAnsi="Arial" w:cs="Arial"/>
          <w:sz w:val="24"/>
          <w:szCs w:val="24"/>
          <w:lang w:val="es-MX"/>
        </w:rPr>
        <w:t xml:space="preserve"> (2002)</w:t>
      </w:r>
      <w:r w:rsidR="00A544A8">
        <w:rPr>
          <w:rFonts w:ascii="Arial" w:hAnsi="Arial" w:cs="Arial"/>
          <w:sz w:val="24"/>
          <w:szCs w:val="24"/>
          <w:lang w:val="es-MX"/>
        </w:rPr>
        <w:t>.</w:t>
      </w:r>
    </w:p>
    <w:p w:rsidR="00D926D5" w:rsidRPr="00851B56" w:rsidRDefault="00D926D5" w:rsidP="00D926D5">
      <w:pPr>
        <w:pStyle w:val="Textonotapie"/>
        <w:spacing w:line="360" w:lineRule="auto"/>
        <w:ind w:left="708" w:hanging="708"/>
        <w:jc w:val="both"/>
        <w:rPr>
          <w:rFonts w:ascii="Arial" w:hAnsi="Arial" w:cs="Arial"/>
          <w:sz w:val="24"/>
          <w:szCs w:val="24"/>
        </w:rPr>
      </w:pPr>
      <w:r>
        <w:rPr>
          <w:rFonts w:ascii="Arial" w:hAnsi="Arial" w:cs="Arial"/>
          <w:sz w:val="24"/>
          <w:szCs w:val="24"/>
        </w:rPr>
        <w:tab/>
      </w:r>
      <w:r w:rsidRPr="00851B56">
        <w:rPr>
          <w:rFonts w:ascii="Arial" w:hAnsi="Arial" w:cs="Arial"/>
          <w:sz w:val="24"/>
          <w:szCs w:val="24"/>
        </w:rPr>
        <w:t xml:space="preserve">Ley </w:t>
      </w:r>
      <w:r w:rsidR="007E5599">
        <w:rPr>
          <w:rFonts w:ascii="Arial" w:hAnsi="Arial" w:cs="Arial"/>
          <w:sz w:val="24"/>
          <w:szCs w:val="24"/>
        </w:rPr>
        <w:t>p</w:t>
      </w:r>
      <w:r w:rsidRPr="00851B56">
        <w:rPr>
          <w:rFonts w:ascii="Arial" w:hAnsi="Arial" w:cs="Arial"/>
          <w:sz w:val="24"/>
          <w:szCs w:val="24"/>
        </w:rPr>
        <w:t>ara el Desarrollo de la Competitividad de la Micro, Pequeña y Mediana Empresa (2002)</w:t>
      </w:r>
      <w:r w:rsidR="00A544A8">
        <w:rPr>
          <w:rFonts w:ascii="Arial" w:hAnsi="Arial" w:cs="Arial"/>
          <w:sz w:val="24"/>
          <w:szCs w:val="24"/>
        </w:rPr>
        <w:t>.</w:t>
      </w:r>
    </w:p>
    <w:p w:rsidR="00D926D5" w:rsidRPr="00E81FED" w:rsidRDefault="00D926D5" w:rsidP="00D926D5">
      <w:pPr>
        <w:pStyle w:val="Textonotapie"/>
        <w:spacing w:line="360" w:lineRule="auto"/>
        <w:ind w:left="708" w:hanging="708"/>
        <w:jc w:val="both"/>
        <w:rPr>
          <w:rFonts w:ascii="Arial" w:hAnsi="Arial" w:cs="Arial"/>
          <w:sz w:val="24"/>
          <w:szCs w:val="24"/>
          <w:highlight w:val="yellow"/>
          <w:lang w:val="es-MX"/>
        </w:rPr>
      </w:pPr>
      <w:r>
        <w:rPr>
          <w:rFonts w:ascii="Arial" w:hAnsi="Arial" w:cs="Arial"/>
          <w:sz w:val="24"/>
          <w:szCs w:val="24"/>
          <w:lang w:val="es-MX"/>
        </w:rPr>
        <w:tab/>
      </w:r>
      <w:r w:rsidRPr="00D926D5">
        <w:rPr>
          <w:rFonts w:ascii="Arial" w:hAnsi="Arial" w:cs="Arial"/>
          <w:sz w:val="24"/>
          <w:szCs w:val="24"/>
          <w:lang w:val="es-MX"/>
        </w:rPr>
        <w:t xml:space="preserve">Pacto Internacional de Derechos Civiles y </w:t>
      </w:r>
      <w:r w:rsidR="00A544A8">
        <w:rPr>
          <w:rFonts w:ascii="Arial" w:hAnsi="Arial" w:cs="Arial"/>
          <w:sz w:val="24"/>
          <w:szCs w:val="24"/>
          <w:lang w:val="es-MX"/>
        </w:rPr>
        <w:t>P</w:t>
      </w:r>
      <w:r w:rsidRPr="00D926D5">
        <w:rPr>
          <w:rFonts w:ascii="Arial" w:hAnsi="Arial" w:cs="Arial"/>
          <w:sz w:val="24"/>
          <w:szCs w:val="24"/>
          <w:lang w:val="es-MX"/>
        </w:rPr>
        <w:t>olíticos (1966)</w:t>
      </w:r>
      <w:r w:rsidR="00A544A8">
        <w:rPr>
          <w:rFonts w:ascii="Arial" w:hAnsi="Arial" w:cs="Arial"/>
          <w:sz w:val="24"/>
          <w:szCs w:val="24"/>
          <w:lang w:val="es-MX"/>
        </w:rPr>
        <w:t>.</w:t>
      </w:r>
    </w:p>
    <w:p w:rsidR="00D926D5" w:rsidRPr="00C1035B" w:rsidRDefault="00D926D5" w:rsidP="00953A53">
      <w:pPr>
        <w:spacing w:line="360" w:lineRule="auto"/>
        <w:ind w:left="708" w:hanging="708"/>
        <w:jc w:val="both"/>
        <w:rPr>
          <w:rFonts w:ascii="Arial" w:hAnsi="Arial" w:cs="Arial"/>
          <w:lang w:val="es-MX"/>
        </w:rPr>
      </w:pPr>
    </w:p>
    <w:sectPr w:rsidR="00D926D5" w:rsidRPr="00C1035B" w:rsidSect="00993575">
      <w:headerReference w:type="default" r:id="rId13"/>
      <w:footerReference w:type="default" r:id="rId14"/>
      <w:headerReference w:type="first" r:id="rId15"/>
      <w:footerReference w:type="first" r:id="rId16"/>
      <w:pgSz w:w="12240" w:h="15840"/>
      <w:pgMar w:top="1440" w:right="1440" w:bottom="1440" w:left="141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260" w:rsidRDefault="007D4260" w:rsidP="00267DA4">
      <w:r>
        <w:separator/>
      </w:r>
    </w:p>
  </w:endnote>
  <w:endnote w:type="continuationSeparator" w:id="0">
    <w:p w:rsidR="007D4260" w:rsidRDefault="007D4260" w:rsidP="0026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A6F" w:rsidRDefault="00426A6F" w:rsidP="00426A6F">
    <w:pPr>
      <w:pStyle w:val="Piedepgina"/>
      <w:jc w:val="center"/>
    </w:pPr>
    <w:r w:rsidRPr="00426A6F">
      <w:rPr>
        <w:rFonts w:asciiTheme="minorHAnsi" w:hAnsiTheme="minorHAnsi"/>
        <w:b/>
        <w:sz w:val="22"/>
      </w:rPr>
      <w:t>Vol. 6, Núm. 11                   Enero – Junio 2017                           RICSH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A6F" w:rsidRPr="00426A6F" w:rsidRDefault="00993575" w:rsidP="00426A6F">
    <w:pPr>
      <w:pStyle w:val="Piedepgina"/>
      <w:jc w:val="center"/>
      <w:rPr>
        <w:rFonts w:asciiTheme="minorHAnsi" w:hAnsiTheme="minorHAnsi"/>
        <w:b/>
        <w:sz w:val="22"/>
      </w:rPr>
    </w:pPr>
    <w:r w:rsidRPr="00426A6F">
      <w:rPr>
        <w:rFonts w:asciiTheme="minorHAnsi" w:hAnsiTheme="minorHAnsi"/>
        <w:b/>
        <w:sz w:val="22"/>
      </w:rPr>
      <w:t>Vol. 6, Núm. 11                   Enero – Junio 2017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260" w:rsidRDefault="007D4260" w:rsidP="00267DA4">
      <w:r>
        <w:separator/>
      </w:r>
    </w:p>
  </w:footnote>
  <w:footnote w:type="continuationSeparator" w:id="0">
    <w:p w:rsidR="007D4260" w:rsidRDefault="007D4260" w:rsidP="00267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A6F" w:rsidRPr="00426A6F" w:rsidRDefault="00426A6F" w:rsidP="00426A6F">
    <w:pPr>
      <w:pStyle w:val="Encabezado"/>
      <w:jc w:val="center"/>
      <w:rPr>
        <w:rFonts w:asciiTheme="minorHAnsi" w:hAnsiTheme="minorHAnsi"/>
        <w:sz w:val="22"/>
      </w:rPr>
    </w:pPr>
    <w:r w:rsidRPr="00426A6F">
      <w:rPr>
        <w:rFonts w:asciiTheme="minorHAnsi" w:hAnsiTheme="minorHAnsi"/>
        <w:b/>
        <w:i/>
        <w:sz w:val="22"/>
      </w:rPr>
      <w:t xml:space="preserve">Revista Iberoamericana de las Ciencias Sociales y Humanísticas                                </w:t>
    </w:r>
    <w:r w:rsidRPr="00426A6F">
      <w:rPr>
        <w:rFonts w:asciiTheme="minorHAnsi" w:hAnsiTheme="minorHAnsi"/>
        <w:b/>
        <w:sz w:val="22"/>
      </w:rPr>
      <w:t>ISSN: 2395-7972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A6F" w:rsidRDefault="00426A6F" w:rsidP="00426A6F">
    <w:pPr>
      <w:pStyle w:val="Encabezado"/>
      <w:jc w:val="center"/>
    </w:pPr>
    <w:r w:rsidRPr="00426A6F">
      <w:rPr>
        <w:rFonts w:asciiTheme="minorHAnsi" w:hAnsiTheme="minorHAnsi"/>
        <w:b/>
        <w:i/>
        <w:sz w:val="22"/>
      </w:rPr>
      <w:t xml:space="preserve">Revista Iberoamericana de las Ciencias Sociales y Humanísticas                                </w:t>
    </w:r>
    <w:r w:rsidRPr="00426A6F">
      <w:rPr>
        <w:rFonts w:asciiTheme="minorHAnsi" w:hAnsiTheme="minorHAnsi"/>
        <w:b/>
        <w:sz w:val="22"/>
      </w:rPr>
      <w:t>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B1A67"/>
    <w:multiLevelType w:val="hybridMultilevel"/>
    <w:tmpl w:val="3BFEE2E4"/>
    <w:lvl w:ilvl="0" w:tplc="92E4CC6E">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nsid w:val="4A310F85"/>
    <w:multiLevelType w:val="hybridMultilevel"/>
    <w:tmpl w:val="4B1CC19E"/>
    <w:lvl w:ilvl="0" w:tplc="087CD2B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0470693"/>
    <w:multiLevelType w:val="multilevel"/>
    <w:tmpl w:val="A94407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67DA4"/>
    <w:rsid w:val="000013BA"/>
    <w:rsid w:val="00081747"/>
    <w:rsid w:val="000A633B"/>
    <w:rsid w:val="000B02FB"/>
    <w:rsid w:val="000C07B1"/>
    <w:rsid w:val="000F7DC8"/>
    <w:rsid w:val="0010600F"/>
    <w:rsid w:val="00113043"/>
    <w:rsid w:val="001311A9"/>
    <w:rsid w:val="00140AA3"/>
    <w:rsid w:val="0016234F"/>
    <w:rsid w:val="001860BF"/>
    <w:rsid w:val="001932AF"/>
    <w:rsid w:val="001C25C2"/>
    <w:rsid w:val="001D0C58"/>
    <w:rsid w:val="001D7079"/>
    <w:rsid w:val="001F57A8"/>
    <w:rsid w:val="0020067C"/>
    <w:rsid w:val="00224275"/>
    <w:rsid w:val="00225A5A"/>
    <w:rsid w:val="00257FD3"/>
    <w:rsid w:val="00266EFC"/>
    <w:rsid w:val="00267DA4"/>
    <w:rsid w:val="00277A37"/>
    <w:rsid w:val="002A1CE1"/>
    <w:rsid w:val="002B1228"/>
    <w:rsid w:val="002B305F"/>
    <w:rsid w:val="002B5A5B"/>
    <w:rsid w:val="002F699C"/>
    <w:rsid w:val="00370D8D"/>
    <w:rsid w:val="003F5FAF"/>
    <w:rsid w:val="0041480D"/>
    <w:rsid w:val="00423182"/>
    <w:rsid w:val="00426A6F"/>
    <w:rsid w:val="00442207"/>
    <w:rsid w:val="00452E8B"/>
    <w:rsid w:val="00487AA5"/>
    <w:rsid w:val="0049279D"/>
    <w:rsid w:val="004A54AE"/>
    <w:rsid w:val="004A6FAD"/>
    <w:rsid w:val="005241C8"/>
    <w:rsid w:val="00524884"/>
    <w:rsid w:val="005430B6"/>
    <w:rsid w:val="00573BAB"/>
    <w:rsid w:val="00593386"/>
    <w:rsid w:val="005976F8"/>
    <w:rsid w:val="005A4BC1"/>
    <w:rsid w:val="005C10C6"/>
    <w:rsid w:val="005C350E"/>
    <w:rsid w:val="005E3336"/>
    <w:rsid w:val="0061242D"/>
    <w:rsid w:val="00666476"/>
    <w:rsid w:val="00670039"/>
    <w:rsid w:val="006B1EFD"/>
    <w:rsid w:val="006D3FDE"/>
    <w:rsid w:val="006D4884"/>
    <w:rsid w:val="006E7C0C"/>
    <w:rsid w:val="006F3C70"/>
    <w:rsid w:val="0071649A"/>
    <w:rsid w:val="0073496C"/>
    <w:rsid w:val="00742865"/>
    <w:rsid w:val="00782612"/>
    <w:rsid w:val="00791AED"/>
    <w:rsid w:val="007A778E"/>
    <w:rsid w:val="007D27C2"/>
    <w:rsid w:val="007D4260"/>
    <w:rsid w:val="007D5164"/>
    <w:rsid w:val="007E5599"/>
    <w:rsid w:val="007F24DC"/>
    <w:rsid w:val="007F4947"/>
    <w:rsid w:val="007F592E"/>
    <w:rsid w:val="00800975"/>
    <w:rsid w:val="00820004"/>
    <w:rsid w:val="0082185F"/>
    <w:rsid w:val="008249CA"/>
    <w:rsid w:val="00835493"/>
    <w:rsid w:val="00851B56"/>
    <w:rsid w:val="00857CDB"/>
    <w:rsid w:val="00871CD2"/>
    <w:rsid w:val="008A3F5F"/>
    <w:rsid w:val="008C27D9"/>
    <w:rsid w:val="008C68D0"/>
    <w:rsid w:val="0090567F"/>
    <w:rsid w:val="009224CB"/>
    <w:rsid w:val="00953A53"/>
    <w:rsid w:val="009903D2"/>
    <w:rsid w:val="00993575"/>
    <w:rsid w:val="00996465"/>
    <w:rsid w:val="009C5255"/>
    <w:rsid w:val="009D552C"/>
    <w:rsid w:val="00A102A1"/>
    <w:rsid w:val="00A127D5"/>
    <w:rsid w:val="00A13211"/>
    <w:rsid w:val="00A425D1"/>
    <w:rsid w:val="00A544A8"/>
    <w:rsid w:val="00A6067E"/>
    <w:rsid w:val="00A65CD8"/>
    <w:rsid w:val="00A75AE7"/>
    <w:rsid w:val="00AC5FE6"/>
    <w:rsid w:val="00AD21DE"/>
    <w:rsid w:val="00AE7C23"/>
    <w:rsid w:val="00B0203C"/>
    <w:rsid w:val="00B35A10"/>
    <w:rsid w:val="00B43970"/>
    <w:rsid w:val="00B66278"/>
    <w:rsid w:val="00B713EF"/>
    <w:rsid w:val="00B72899"/>
    <w:rsid w:val="00BB1F47"/>
    <w:rsid w:val="00BE5C0C"/>
    <w:rsid w:val="00BE7DF2"/>
    <w:rsid w:val="00BF6259"/>
    <w:rsid w:val="00C1035B"/>
    <w:rsid w:val="00C44058"/>
    <w:rsid w:val="00C52BA3"/>
    <w:rsid w:val="00C9600A"/>
    <w:rsid w:val="00CA4DFA"/>
    <w:rsid w:val="00CB7F32"/>
    <w:rsid w:val="00CE14A5"/>
    <w:rsid w:val="00CE1CE0"/>
    <w:rsid w:val="00D50245"/>
    <w:rsid w:val="00D87ECE"/>
    <w:rsid w:val="00D926D5"/>
    <w:rsid w:val="00D965AF"/>
    <w:rsid w:val="00DE1285"/>
    <w:rsid w:val="00DE65CC"/>
    <w:rsid w:val="00E07726"/>
    <w:rsid w:val="00E22121"/>
    <w:rsid w:val="00E81FED"/>
    <w:rsid w:val="00E830D4"/>
    <w:rsid w:val="00EB1337"/>
    <w:rsid w:val="00EC0E2A"/>
    <w:rsid w:val="00ED25E1"/>
    <w:rsid w:val="00EE3F02"/>
    <w:rsid w:val="00EF312E"/>
    <w:rsid w:val="00F307B1"/>
    <w:rsid w:val="00F31057"/>
    <w:rsid w:val="00F3344F"/>
    <w:rsid w:val="00F45AAF"/>
    <w:rsid w:val="00FA11C0"/>
    <w:rsid w:val="00FD6DE3"/>
    <w:rsid w:val="00FE319C"/>
    <w:rsid w:val="00FF05D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DA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52E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E7C0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267DA4"/>
    <w:rPr>
      <w:sz w:val="20"/>
      <w:szCs w:val="20"/>
    </w:rPr>
  </w:style>
  <w:style w:type="character" w:customStyle="1" w:styleId="TextonotapieCar">
    <w:name w:val="Texto nota pie Car"/>
    <w:basedOn w:val="Fuentedeprrafopredeter"/>
    <w:link w:val="Textonotapie"/>
    <w:rsid w:val="00267DA4"/>
    <w:rPr>
      <w:rFonts w:ascii="Times New Roman" w:eastAsia="Times New Roman" w:hAnsi="Times New Roman" w:cs="Times New Roman"/>
      <w:sz w:val="20"/>
      <w:szCs w:val="20"/>
      <w:lang w:val="es-ES" w:eastAsia="es-ES"/>
    </w:rPr>
  </w:style>
  <w:style w:type="character" w:styleId="Refdenotaalpie">
    <w:name w:val="footnote reference"/>
    <w:rsid w:val="00267DA4"/>
    <w:rPr>
      <w:vertAlign w:val="superscript"/>
    </w:rPr>
  </w:style>
  <w:style w:type="paragraph" w:styleId="Prrafodelista">
    <w:name w:val="List Paragraph"/>
    <w:basedOn w:val="Normal"/>
    <w:uiPriority w:val="34"/>
    <w:qFormat/>
    <w:rsid w:val="00F31057"/>
    <w:pPr>
      <w:ind w:left="708"/>
    </w:pPr>
  </w:style>
  <w:style w:type="character" w:styleId="Hipervnculo">
    <w:name w:val="Hyperlink"/>
    <w:uiPriority w:val="99"/>
    <w:rsid w:val="00F31057"/>
    <w:rPr>
      <w:color w:val="0000FF"/>
      <w:u w:val="single"/>
    </w:rPr>
  </w:style>
  <w:style w:type="paragraph" w:styleId="Sinespaciado">
    <w:name w:val="No Spacing"/>
    <w:link w:val="SinespaciadoCar"/>
    <w:uiPriority w:val="1"/>
    <w:qFormat/>
    <w:rsid w:val="00F3105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31057"/>
    <w:rPr>
      <w:rFonts w:eastAsiaTheme="minorEastAsia"/>
      <w:lang w:eastAsia="es-MX"/>
    </w:rPr>
  </w:style>
  <w:style w:type="paragraph" w:styleId="Textodeglobo">
    <w:name w:val="Balloon Text"/>
    <w:basedOn w:val="Normal"/>
    <w:link w:val="TextodegloboCar"/>
    <w:uiPriority w:val="99"/>
    <w:semiHidden/>
    <w:unhideWhenUsed/>
    <w:rsid w:val="00F31057"/>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057"/>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452E8B"/>
    <w:rPr>
      <w:rFonts w:asciiTheme="majorHAnsi" w:eastAsiaTheme="majorEastAsia" w:hAnsiTheme="majorHAnsi" w:cstheme="majorBidi"/>
      <w:b/>
      <w:bCs/>
      <w:color w:val="365F91" w:themeColor="accent1" w:themeShade="BF"/>
      <w:sz w:val="28"/>
      <w:szCs w:val="28"/>
      <w:lang w:val="es-ES" w:eastAsia="es-ES"/>
    </w:rPr>
  </w:style>
  <w:style w:type="character" w:styleId="CitaHTML">
    <w:name w:val="HTML Cite"/>
    <w:uiPriority w:val="99"/>
    <w:unhideWhenUsed/>
    <w:rsid w:val="00452E8B"/>
    <w:rPr>
      <w:i/>
      <w:iCs/>
    </w:rPr>
  </w:style>
  <w:style w:type="paragraph" w:styleId="TtulodeTDC">
    <w:name w:val="TOC Heading"/>
    <w:basedOn w:val="Ttulo1"/>
    <w:next w:val="Normal"/>
    <w:uiPriority w:val="39"/>
    <w:unhideWhenUsed/>
    <w:qFormat/>
    <w:rsid w:val="00452E8B"/>
    <w:pPr>
      <w:spacing w:line="276" w:lineRule="auto"/>
      <w:outlineLvl w:val="9"/>
    </w:pPr>
    <w:rPr>
      <w:lang w:eastAsia="en-US"/>
    </w:rPr>
  </w:style>
  <w:style w:type="paragraph" w:styleId="TDC1">
    <w:name w:val="toc 1"/>
    <w:basedOn w:val="Normal"/>
    <w:next w:val="Normal"/>
    <w:autoRedefine/>
    <w:uiPriority w:val="39"/>
    <w:unhideWhenUsed/>
    <w:rsid w:val="00452E8B"/>
    <w:pPr>
      <w:spacing w:after="100"/>
    </w:pPr>
  </w:style>
  <w:style w:type="character" w:customStyle="1" w:styleId="Ttulo2Car">
    <w:name w:val="Título 2 Car"/>
    <w:basedOn w:val="Fuentedeprrafopredeter"/>
    <w:link w:val="Ttulo2"/>
    <w:uiPriority w:val="9"/>
    <w:rsid w:val="006E7C0C"/>
    <w:rPr>
      <w:rFonts w:asciiTheme="majorHAnsi" w:eastAsiaTheme="majorEastAsia" w:hAnsiTheme="majorHAnsi" w:cstheme="majorBidi"/>
      <w:b/>
      <w:bCs/>
      <w:color w:val="4F81BD" w:themeColor="accent1"/>
      <w:sz w:val="26"/>
      <w:szCs w:val="26"/>
      <w:lang w:val="es-ES" w:eastAsia="es-ES"/>
    </w:rPr>
  </w:style>
  <w:style w:type="paragraph" w:styleId="NormalWeb">
    <w:name w:val="Normal (Web)"/>
    <w:basedOn w:val="Normal"/>
    <w:uiPriority w:val="99"/>
    <w:unhideWhenUsed/>
    <w:rsid w:val="005430B6"/>
    <w:pPr>
      <w:spacing w:before="100" w:beforeAutospacing="1" w:after="100" w:afterAutospacing="1"/>
    </w:pPr>
    <w:rPr>
      <w:lang w:val="es-PE" w:eastAsia="es-PE"/>
    </w:rPr>
  </w:style>
  <w:style w:type="character" w:customStyle="1" w:styleId="im">
    <w:name w:val="im"/>
    <w:basedOn w:val="Fuentedeprrafopredeter"/>
    <w:rsid w:val="005430B6"/>
  </w:style>
  <w:style w:type="character" w:styleId="Textoennegrita">
    <w:name w:val="Strong"/>
    <w:basedOn w:val="Fuentedeprrafopredeter"/>
    <w:uiPriority w:val="22"/>
    <w:qFormat/>
    <w:rsid w:val="005430B6"/>
    <w:rPr>
      <w:b/>
      <w:bCs/>
    </w:rPr>
  </w:style>
  <w:style w:type="character" w:styleId="Hipervnculovisitado">
    <w:name w:val="FollowedHyperlink"/>
    <w:basedOn w:val="Fuentedeprrafopredeter"/>
    <w:uiPriority w:val="99"/>
    <w:semiHidden/>
    <w:unhideWhenUsed/>
    <w:rsid w:val="00423182"/>
    <w:rPr>
      <w:color w:val="800080" w:themeColor="followedHyperlink"/>
      <w:u w:val="single"/>
    </w:rPr>
  </w:style>
  <w:style w:type="paragraph" w:styleId="Encabezado">
    <w:name w:val="header"/>
    <w:basedOn w:val="Normal"/>
    <w:link w:val="EncabezadoCar"/>
    <w:uiPriority w:val="99"/>
    <w:unhideWhenUsed/>
    <w:rsid w:val="00426A6F"/>
    <w:pPr>
      <w:tabs>
        <w:tab w:val="center" w:pos="4419"/>
        <w:tab w:val="right" w:pos="8838"/>
      </w:tabs>
    </w:pPr>
  </w:style>
  <w:style w:type="character" w:customStyle="1" w:styleId="EncabezadoCar">
    <w:name w:val="Encabezado Car"/>
    <w:basedOn w:val="Fuentedeprrafopredeter"/>
    <w:link w:val="Encabezado"/>
    <w:uiPriority w:val="99"/>
    <w:rsid w:val="00426A6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26A6F"/>
    <w:pPr>
      <w:tabs>
        <w:tab w:val="center" w:pos="4419"/>
        <w:tab w:val="right" w:pos="8838"/>
      </w:tabs>
    </w:pPr>
  </w:style>
  <w:style w:type="character" w:customStyle="1" w:styleId="PiedepginaCar">
    <w:name w:val="Pie de página Car"/>
    <w:basedOn w:val="Fuentedeprrafopredeter"/>
    <w:link w:val="Piedepgina"/>
    <w:uiPriority w:val="99"/>
    <w:rsid w:val="00426A6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606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DA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52E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E7C0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267DA4"/>
    <w:rPr>
      <w:sz w:val="20"/>
      <w:szCs w:val="20"/>
    </w:rPr>
  </w:style>
  <w:style w:type="character" w:customStyle="1" w:styleId="TextonotapieCar">
    <w:name w:val="Texto nota pie Car"/>
    <w:basedOn w:val="Fuentedeprrafopredeter"/>
    <w:link w:val="Textonotapie"/>
    <w:rsid w:val="00267DA4"/>
    <w:rPr>
      <w:rFonts w:ascii="Times New Roman" w:eastAsia="Times New Roman" w:hAnsi="Times New Roman" w:cs="Times New Roman"/>
      <w:sz w:val="20"/>
      <w:szCs w:val="20"/>
      <w:lang w:val="es-ES" w:eastAsia="es-ES"/>
    </w:rPr>
  </w:style>
  <w:style w:type="character" w:styleId="Refdenotaalpie">
    <w:name w:val="footnote reference"/>
    <w:rsid w:val="00267DA4"/>
    <w:rPr>
      <w:vertAlign w:val="superscript"/>
    </w:rPr>
  </w:style>
  <w:style w:type="paragraph" w:styleId="Prrafodelista">
    <w:name w:val="List Paragraph"/>
    <w:basedOn w:val="Normal"/>
    <w:uiPriority w:val="34"/>
    <w:qFormat/>
    <w:rsid w:val="00F31057"/>
    <w:pPr>
      <w:ind w:left="708"/>
    </w:pPr>
  </w:style>
  <w:style w:type="character" w:styleId="Hipervnculo">
    <w:name w:val="Hyperlink"/>
    <w:uiPriority w:val="99"/>
    <w:rsid w:val="00F31057"/>
    <w:rPr>
      <w:color w:val="0000FF"/>
      <w:u w:val="single"/>
    </w:rPr>
  </w:style>
  <w:style w:type="paragraph" w:styleId="Sinespaciado">
    <w:name w:val="No Spacing"/>
    <w:link w:val="SinespaciadoCar"/>
    <w:uiPriority w:val="1"/>
    <w:qFormat/>
    <w:rsid w:val="00F3105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31057"/>
    <w:rPr>
      <w:rFonts w:eastAsiaTheme="minorEastAsia"/>
      <w:lang w:eastAsia="es-MX"/>
    </w:rPr>
  </w:style>
  <w:style w:type="paragraph" w:styleId="Textodeglobo">
    <w:name w:val="Balloon Text"/>
    <w:basedOn w:val="Normal"/>
    <w:link w:val="TextodegloboCar"/>
    <w:uiPriority w:val="99"/>
    <w:semiHidden/>
    <w:unhideWhenUsed/>
    <w:rsid w:val="00F31057"/>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057"/>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452E8B"/>
    <w:rPr>
      <w:rFonts w:asciiTheme="majorHAnsi" w:eastAsiaTheme="majorEastAsia" w:hAnsiTheme="majorHAnsi" w:cstheme="majorBidi"/>
      <w:b/>
      <w:bCs/>
      <w:color w:val="365F91" w:themeColor="accent1" w:themeShade="BF"/>
      <w:sz w:val="28"/>
      <w:szCs w:val="28"/>
      <w:lang w:val="es-ES" w:eastAsia="es-ES"/>
    </w:rPr>
  </w:style>
  <w:style w:type="character" w:styleId="CitaHTML">
    <w:name w:val="HTML Cite"/>
    <w:uiPriority w:val="99"/>
    <w:unhideWhenUsed/>
    <w:rsid w:val="00452E8B"/>
    <w:rPr>
      <w:i/>
      <w:iCs/>
    </w:rPr>
  </w:style>
  <w:style w:type="paragraph" w:styleId="TtulodeTDC">
    <w:name w:val="TOC Heading"/>
    <w:basedOn w:val="Ttulo1"/>
    <w:next w:val="Normal"/>
    <w:uiPriority w:val="39"/>
    <w:unhideWhenUsed/>
    <w:qFormat/>
    <w:rsid w:val="00452E8B"/>
    <w:pPr>
      <w:spacing w:line="276" w:lineRule="auto"/>
      <w:outlineLvl w:val="9"/>
    </w:pPr>
    <w:rPr>
      <w:lang w:eastAsia="en-US"/>
    </w:rPr>
  </w:style>
  <w:style w:type="paragraph" w:styleId="TDC1">
    <w:name w:val="toc 1"/>
    <w:basedOn w:val="Normal"/>
    <w:next w:val="Normal"/>
    <w:autoRedefine/>
    <w:uiPriority w:val="39"/>
    <w:unhideWhenUsed/>
    <w:rsid w:val="00452E8B"/>
    <w:pPr>
      <w:spacing w:after="100"/>
    </w:pPr>
  </w:style>
  <w:style w:type="character" w:customStyle="1" w:styleId="Ttulo2Car">
    <w:name w:val="Título 2 Car"/>
    <w:basedOn w:val="Fuentedeprrafopredeter"/>
    <w:link w:val="Ttulo2"/>
    <w:uiPriority w:val="9"/>
    <w:rsid w:val="006E7C0C"/>
    <w:rPr>
      <w:rFonts w:asciiTheme="majorHAnsi" w:eastAsiaTheme="majorEastAsia" w:hAnsiTheme="majorHAnsi" w:cstheme="majorBidi"/>
      <w:b/>
      <w:bCs/>
      <w:color w:val="4F81BD" w:themeColor="accent1"/>
      <w:sz w:val="26"/>
      <w:szCs w:val="26"/>
      <w:lang w:val="es-ES" w:eastAsia="es-ES"/>
    </w:rPr>
  </w:style>
  <w:style w:type="paragraph" w:styleId="NormalWeb">
    <w:name w:val="Normal (Web)"/>
    <w:basedOn w:val="Normal"/>
    <w:uiPriority w:val="99"/>
    <w:unhideWhenUsed/>
    <w:rsid w:val="005430B6"/>
    <w:pPr>
      <w:spacing w:before="100" w:beforeAutospacing="1" w:after="100" w:afterAutospacing="1"/>
    </w:pPr>
    <w:rPr>
      <w:lang w:val="es-PE" w:eastAsia="es-PE"/>
    </w:rPr>
  </w:style>
  <w:style w:type="character" w:customStyle="1" w:styleId="im">
    <w:name w:val="im"/>
    <w:basedOn w:val="Fuentedeprrafopredeter"/>
    <w:rsid w:val="005430B6"/>
  </w:style>
  <w:style w:type="character" w:styleId="Textoennegrita">
    <w:name w:val="Strong"/>
    <w:basedOn w:val="Fuentedeprrafopredeter"/>
    <w:uiPriority w:val="22"/>
    <w:qFormat/>
    <w:rsid w:val="005430B6"/>
    <w:rPr>
      <w:b/>
      <w:bCs/>
    </w:rPr>
  </w:style>
  <w:style w:type="character" w:styleId="Hipervnculovisitado">
    <w:name w:val="FollowedHyperlink"/>
    <w:basedOn w:val="Fuentedeprrafopredeter"/>
    <w:uiPriority w:val="99"/>
    <w:semiHidden/>
    <w:unhideWhenUsed/>
    <w:rsid w:val="004231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lexsasacc@uabc.edu.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iscarloscastro@uabc.edu.mx"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dx.doi.org/10.23913/ricsh.v6i11.10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Trabajo presentado por Luis Carlos Castro Vizcarra en la cátedra impartida por la Dra. Magdalena Díaz Beltrán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7C47C9-71C1-46AB-88F7-6366FAA3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5170</Words>
  <Characters>28440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TRABAJO FINAL</vt:lpstr>
    </vt:vector>
  </TitlesOfParts>
  <Company>Control de Constitucionalidad y Convencionalidad</Company>
  <LinksUpToDate>false</LinksUpToDate>
  <CharactersWithSpaces>33543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FINAL</dc:title>
  <dc:creator>Luis Carlos Castro Vizcarra</dc:creator>
  <cp:lastModifiedBy>Gustavo Toledo Andrade</cp:lastModifiedBy>
  <cp:revision>6</cp:revision>
  <dcterms:created xsi:type="dcterms:W3CDTF">2017-02-23T21:45:00Z</dcterms:created>
  <dcterms:modified xsi:type="dcterms:W3CDTF">2017-04-26T20:14:00Z</dcterms:modified>
</cp:coreProperties>
</file>